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Heading2"/>
        <w:spacing w:after="300" w:before="0" w:lineRule="auto"/>
        <w:rPr/>
      </w:pPr>
      <w:bookmarkStart w:colFirst="0" w:colLast="0" w:name="_61ivn62exxwt" w:id="0"/>
      <w:bookmarkEnd w:id="0"/>
      <w:r w:rsidDel="00000000" w:rsidR="00000000" w:rsidRPr="00000000">
        <w:rPr>
          <w:rtl w:val="0"/>
        </w:rPr>
        <w:t xml:space="preserve">Analyze the Data</w:t>
      </w:r>
      <w:r w:rsidDel="00000000" w:rsidR="00000000" w:rsidRPr="00000000">
        <w:rPr>
          <w:rtl w:val="0"/>
        </w:rPr>
      </w:r>
    </w:p>
    <w:tbl>
      <w:tblPr>
        <w:tblStyle w:val="Table1"/>
        <w:tblW w:w="144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6120"/>
        <w:gridCol w:w="8280"/>
        <w:tblGridChange w:id="0">
          <w:tblGrid>
            <w:gridCol w:w="6120"/>
            <w:gridCol w:w="8280"/>
          </w:tblGrid>
        </w:tblGridChange>
      </w:tblGrid>
      <w:tr>
        <w:trPr>
          <w:cantSplit w:val="0"/>
          <w:trHeight w:val="455.99999999999994" w:hRule="atLeast"/>
          <w:tblHeader w:val="0"/>
        </w:trPr>
        <w:tc>
          <w:tcPr>
            <w:gridSpan w:val="2"/>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2">
            <w:pPr>
              <w:pStyle w:val="Heading4"/>
              <w:widowControl w:val="0"/>
              <w:spacing w:before="0" w:line="240" w:lineRule="auto"/>
              <w:rPr/>
            </w:pPr>
            <w:bookmarkStart w:colFirst="0" w:colLast="0" w:name="_j6d734hdmdh" w:id="1"/>
            <w:bookmarkEnd w:id="1"/>
            <w:r w:rsidDel="00000000" w:rsidR="00000000" w:rsidRPr="00000000">
              <w:rPr>
                <w:rtl w:val="0"/>
              </w:rPr>
              <w:t xml:space="preserve">Team: Voting</w:t>
            </w:r>
          </w:p>
        </w:tc>
      </w:tr>
      <w:tr>
        <w:trPr>
          <w:cantSplit w:val="0"/>
          <w:trHeight w:val="928" w:hRule="atLeast"/>
          <w:tblHeader w:val="0"/>
        </w:trPr>
        <w:tc>
          <w:tcPr>
            <w:shd w:fill="e9f4ff" w:val="clear"/>
            <w:tcMar>
              <w:top w:w="144.0" w:type="dxa"/>
              <w:left w:w="144.0" w:type="dxa"/>
              <w:bottom w:w="144.0" w:type="dxa"/>
              <w:right w:w="144.0" w:type="dxa"/>
            </w:tcMar>
          </w:tcPr>
          <w:p w:rsidR="00000000" w:rsidDel="00000000" w:rsidP="00000000" w:rsidRDefault="00000000" w:rsidRPr="00000000" w14:paraId="00000004">
            <w:pPr>
              <w:pStyle w:val="Heading3"/>
              <w:spacing w:before="0" w:lineRule="auto"/>
              <w:rPr/>
            </w:pPr>
            <w:bookmarkStart w:colFirst="0" w:colLast="0" w:name="_mhtvyxq92qxl" w:id="2"/>
            <w:bookmarkEnd w:id="2"/>
            <w:r w:rsidDel="00000000" w:rsidR="00000000" w:rsidRPr="00000000">
              <w:rPr>
                <w:rtl w:val="0"/>
              </w:rPr>
              <w:t xml:space="preserve">26th Amendment</w:t>
            </w:r>
          </w:p>
          <w:p w:rsidR="00000000" w:rsidDel="00000000" w:rsidP="00000000" w:rsidRDefault="00000000" w:rsidRPr="00000000" w14:paraId="00000005">
            <w:pPr>
              <w:spacing w:after="0" w:lineRule="auto"/>
              <w:rPr/>
            </w:pPr>
            <w:r w:rsidDel="00000000" w:rsidR="00000000" w:rsidRPr="00000000">
              <w:rPr>
                <w:b w:val="1"/>
                <w:rtl w:val="0"/>
              </w:rPr>
              <w:t xml:space="preserve">Section 1:</w:t>
            </w:r>
            <w:r w:rsidDel="00000000" w:rsidR="00000000" w:rsidRPr="00000000">
              <w:rPr>
                <w:rtl w:val="0"/>
              </w:rPr>
              <w:t xml:space="preserve"> The right of citizens of the United States, who are eighteen years of age or older, to vote shall not be denied or abridged by the United States or by any State on account of age.</w:t>
            </w:r>
          </w:p>
          <w:p w:rsidR="00000000" w:rsidDel="00000000" w:rsidP="00000000" w:rsidRDefault="00000000" w:rsidRPr="00000000" w14:paraId="00000006">
            <w:pPr>
              <w:spacing w:after="0" w:lineRule="auto"/>
              <w:jc w:val="right"/>
              <w:rPr>
                <w:i w:val="1"/>
              </w:rPr>
            </w:pPr>
            <w:r w:rsidDel="00000000" w:rsidR="00000000" w:rsidRPr="00000000">
              <w:rPr>
                <w:i w:val="1"/>
                <w:rtl w:val="0"/>
              </w:rPr>
              <w:t xml:space="preserve">The Constitution of the United States</w:t>
            </w:r>
          </w:p>
          <w:p w:rsidR="00000000" w:rsidDel="00000000" w:rsidP="00000000" w:rsidRDefault="00000000" w:rsidRPr="00000000" w14:paraId="00000007">
            <w:pPr>
              <w:spacing w:after="0" w:lineRule="auto"/>
              <w:rPr/>
            </w:pPr>
            <w:r w:rsidDel="00000000" w:rsidR="00000000" w:rsidRPr="00000000">
              <w:rPr>
                <w:rtl w:val="0"/>
              </w:rPr>
            </w:r>
          </w:p>
          <w:p w:rsidR="00000000" w:rsidDel="00000000" w:rsidP="00000000" w:rsidRDefault="00000000" w:rsidRPr="00000000" w14:paraId="00000008">
            <w:pPr>
              <w:spacing w:after="0" w:lineRule="auto"/>
              <w:rPr/>
            </w:pPr>
            <w:r w:rsidDel="00000000" w:rsidR="00000000" w:rsidRPr="00000000">
              <w:rPr>
                <w:b w:val="1"/>
                <w:rtl w:val="0"/>
              </w:rPr>
              <w:t xml:space="preserve">Background:</w:t>
            </w:r>
            <w:r w:rsidDel="00000000" w:rsidR="00000000" w:rsidRPr="00000000">
              <w:rPr>
                <w:rtl w:val="0"/>
              </w:rPr>
              <w:br w:type="textWrapping"/>
              <w:t xml:space="preserve">The 26th Amendment was ratified on July 1, 1971. This amendment lowered the voting age from 21, and extended the right to vote in federal elections to all Americans aged 18 and older. Passage of the 26th Amendment was a result of 18-year-olds being drafted to fight in the Vietnam War but not holding the power to vote. The motto was, “Old enough to fight, old enough to vote!”</w:t>
            </w:r>
          </w:p>
        </w:tc>
        <w:tc>
          <w:tcPr>
            <w:vMerge w:val="restart"/>
            <w:tcMar>
              <w:top w:w="144.0" w:type="dxa"/>
              <w:left w:w="144.0" w:type="dxa"/>
              <w:bottom w:w="144.0" w:type="dxa"/>
              <w:right w:w="144.0" w:type="dxa"/>
            </w:tcMar>
          </w:tcPr>
          <w:p w:rsidR="00000000" w:rsidDel="00000000" w:rsidP="00000000" w:rsidRDefault="00000000" w:rsidRPr="00000000" w14:paraId="00000009">
            <w:pPr>
              <w:spacing w:after="0" w:before="0" w:line="240" w:lineRule="auto"/>
              <w:ind w:left="0" w:firstLine="0"/>
              <w:rPr/>
            </w:pPr>
            <w:bookmarkStart w:colFirst="0" w:colLast="0" w:name="_mhtvyxq92qxl" w:id="2"/>
            <w:bookmarkEnd w:id="2"/>
            <w:r w:rsidDel="00000000" w:rsidR="00000000" w:rsidRPr="00000000">
              <w:rPr/>
              <w:drawing>
                <wp:inline distB="114300" distT="114300" distL="114300" distR="114300">
                  <wp:extent cx="5067300" cy="4051300"/>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067300" cy="4051300"/>
                          </a:xfrm>
                          <a:prstGeom prst="rect"/>
                          <a:ln/>
                        </pic:spPr>
                      </pic:pic>
                    </a:graphicData>
                  </a:graphic>
                </wp:inline>
              </w:drawing>
            </w:r>
            <w:r w:rsidDel="00000000" w:rsidR="00000000" w:rsidRPr="00000000">
              <w:rPr>
                <w:rtl w:val="0"/>
              </w:rPr>
            </w:r>
          </w:p>
        </w:tc>
      </w:tr>
      <w:tr>
        <w:trPr>
          <w:cantSplit w:val="0"/>
          <w:trHeight w:val="528" w:hRule="atLeast"/>
          <w:tblHeader w:val="0"/>
        </w:trPr>
        <w:tc>
          <w:tcPr>
            <w:tcMar>
              <w:top w:w="144.0" w:type="dxa"/>
              <w:left w:w="144.0" w:type="dxa"/>
              <w:bottom w:w="144.0" w:type="dxa"/>
              <w:right w:w="144.0" w:type="dxa"/>
            </w:tcMar>
            <w:vAlign w:val="bottom"/>
          </w:tcPr>
          <w:p w:rsidR="00000000" w:rsidDel="00000000" w:rsidP="00000000" w:rsidRDefault="00000000" w:rsidRPr="00000000" w14:paraId="0000000A">
            <w:pPr>
              <w:rPr>
                <w:color w:val="004fa3"/>
              </w:rPr>
            </w:pPr>
            <w:r w:rsidDel="00000000" w:rsidR="00000000" w:rsidRPr="00000000">
              <w:rPr>
                <w:b w:val="1"/>
                <w:rtl w:val="0"/>
              </w:rPr>
              <w:t xml:space="preserve">Map of Legal Feasibility of City Campaigns to Lower the Voting Age in Local Elections</w:t>
              <w:br w:type="textWrapping"/>
            </w:r>
            <w:r w:rsidDel="00000000" w:rsidR="00000000" w:rsidRPr="00000000">
              <w:rPr>
                <w:rtl w:val="0"/>
              </w:rPr>
              <w:t xml:space="preserve">Source: </w:t>
            </w:r>
            <w:hyperlink r:id="rId7">
              <w:r w:rsidDel="00000000" w:rsidR="00000000" w:rsidRPr="00000000">
                <w:rPr>
                  <w:color w:val="004fa3"/>
                  <w:rtl w:val="0"/>
                </w:rPr>
                <w:t xml:space="preserve">Young Voices at the Ballot Box: Amplifying Youth Activism to Lower the Voting Age in 2020 and Beyond</w:t>
              </w:r>
            </w:hyperlink>
            <w:r w:rsidDel="00000000" w:rsidR="00000000" w:rsidRPr="00000000">
              <w:rPr>
                <w:rtl w:val="0"/>
              </w:rPr>
              <w:t xml:space="preserve"> </w:t>
            </w:r>
            <w:r w:rsidDel="00000000" w:rsidR="00000000" w:rsidRPr="00000000">
              <w:rPr>
                <w:rtl w:val="0"/>
              </w:rPr>
              <w:t xml:space="preserve">[page 22] - </w:t>
            </w:r>
            <w:hyperlink r:id="rId8">
              <w:r w:rsidDel="00000000" w:rsidR="00000000" w:rsidRPr="00000000">
                <w:rPr>
                  <w:color w:val="004fa3"/>
                  <w:rtl w:val="0"/>
                </w:rPr>
                <w:t xml:space="preserve">vote16usa.org</w:t>
              </w:r>
            </w:hyperlink>
            <w:r w:rsidDel="00000000" w:rsidR="00000000" w:rsidRPr="00000000">
              <w:rPr>
                <w:rtl w:val="0"/>
              </w:rPr>
            </w:r>
          </w:p>
        </w:tc>
        <w:tc>
          <w:tcPr>
            <w:vMerge w:val="continue"/>
            <w:tcMar>
              <w:top w:w="144.0" w:type="dxa"/>
              <w:left w:w="144.0" w:type="dxa"/>
              <w:bottom w:w="144.0" w:type="dxa"/>
              <w:right w:w="144.0" w:type="dxa"/>
            </w:tcMar>
          </w:tcPr>
          <w:p w:rsidR="00000000" w:rsidDel="00000000" w:rsidP="00000000" w:rsidRDefault="00000000" w:rsidRPr="00000000" w14:paraId="0000000B">
            <w:pPr>
              <w:spacing w:after="0" w:before="0" w:line="240" w:lineRule="auto"/>
              <w:ind w:left="0" w:firstLine="0"/>
              <w:rPr>
                <w:color w:val="004fa3"/>
              </w:rPr>
            </w:pPr>
            <w:r w:rsidDel="00000000" w:rsidR="00000000" w:rsidRPr="00000000">
              <w:rPr>
                <w:rtl w:val="0"/>
              </w:rPr>
            </w:r>
          </w:p>
        </w:tc>
      </w:tr>
    </w:tbl>
    <w:p w:rsidR="00000000" w:rsidDel="00000000" w:rsidP="00000000" w:rsidRDefault="00000000" w:rsidRPr="00000000" w14:paraId="0000000C">
      <w:pPr>
        <w:spacing w:after="300" w:before="0" w:lineRule="auto"/>
        <w:rPr/>
      </w:pPr>
      <w:r w:rsidDel="00000000" w:rsidR="00000000" w:rsidRPr="00000000">
        <w:rPr>
          <w:rtl w:val="0"/>
        </w:rPr>
      </w:r>
    </w:p>
    <w:tbl>
      <w:tblPr>
        <w:tblStyle w:val="Table2"/>
        <w:tblW w:w="144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6120"/>
        <w:gridCol w:w="8280"/>
        <w:tblGridChange w:id="0">
          <w:tblGrid>
            <w:gridCol w:w="6120"/>
            <w:gridCol w:w="8280"/>
          </w:tblGrid>
        </w:tblGridChange>
      </w:tblGrid>
      <w:tr>
        <w:trPr>
          <w:cantSplit w:val="0"/>
          <w:trHeight w:val="455.99999999999994" w:hRule="atLeast"/>
          <w:tblHeader w:val="0"/>
        </w:trPr>
        <w:tc>
          <w:tcPr>
            <w:gridSpan w:val="2"/>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0D">
            <w:pPr>
              <w:pStyle w:val="Heading4"/>
              <w:widowControl w:val="0"/>
              <w:spacing w:before="0" w:line="240" w:lineRule="auto"/>
              <w:rPr/>
            </w:pPr>
            <w:bookmarkStart w:colFirst="0" w:colLast="0" w:name="_xbt79hhlmp6r" w:id="3"/>
            <w:bookmarkEnd w:id="3"/>
            <w:r w:rsidDel="00000000" w:rsidR="00000000" w:rsidRPr="00000000">
              <w:rPr>
                <w:rtl w:val="0"/>
              </w:rPr>
              <w:t xml:space="preserve">Team: Driver’s License</w:t>
            </w:r>
          </w:p>
        </w:tc>
      </w:tr>
      <w:tr>
        <w:trPr>
          <w:cantSplit w:val="0"/>
          <w:trHeight w:val="928" w:hRule="atLeast"/>
          <w:tblHeader w:val="0"/>
        </w:trPr>
        <w:tc>
          <w:tcPr>
            <w:shd w:fill="e9f4ff" w:val="clear"/>
            <w:tcMar>
              <w:top w:w="144.0" w:type="dxa"/>
              <w:left w:w="144.0" w:type="dxa"/>
              <w:bottom w:w="144.0" w:type="dxa"/>
              <w:right w:w="144.0" w:type="dxa"/>
            </w:tcMar>
          </w:tcPr>
          <w:p w:rsidR="00000000" w:rsidDel="00000000" w:rsidP="00000000" w:rsidRDefault="00000000" w:rsidRPr="00000000" w14:paraId="0000000F">
            <w:pPr>
              <w:pStyle w:val="Heading3"/>
              <w:spacing w:before="0" w:lineRule="auto"/>
              <w:rPr/>
            </w:pPr>
            <w:bookmarkStart w:colFirst="0" w:colLast="0" w:name="_9z5h2daqvtpn" w:id="4"/>
            <w:bookmarkEnd w:id="4"/>
            <w:r w:rsidDel="00000000" w:rsidR="00000000" w:rsidRPr="00000000">
              <w:rPr>
                <w:rtl w:val="0"/>
              </w:rPr>
              <w:t xml:space="preserve">Driving in the U.S.</w:t>
            </w:r>
          </w:p>
          <w:p w:rsidR="00000000" w:rsidDel="00000000" w:rsidP="00000000" w:rsidRDefault="00000000" w:rsidRPr="00000000" w14:paraId="00000010">
            <w:pPr>
              <w:spacing w:after="0" w:before="300" w:lineRule="auto"/>
              <w:rPr/>
            </w:pPr>
            <w:r w:rsidDel="00000000" w:rsidR="00000000" w:rsidRPr="00000000">
              <w:rPr>
                <w:rtl w:val="0"/>
              </w:rPr>
              <w:t xml:space="preserve">Each state has the authority to establish its own traffic laws and issue driving licenses. Speed limits, driving age, and driver’s education requirements vary from state to state. Most states require drivers to have vehicle insurance. One commonality is that traffic is required to keep to the right, known as a right-hand traffic pattern. Another rule in all states is the requirement to wear a seatbelt. All states prohibit drunk driving, and drivers are required to stop for school buses with flashing red lights in all states.</w:t>
            </w:r>
          </w:p>
        </w:tc>
        <w:tc>
          <w:tcPr>
            <w:vMerge w:val="restart"/>
            <w:tcMar>
              <w:top w:w="144.0" w:type="dxa"/>
              <w:left w:w="144.0" w:type="dxa"/>
              <w:bottom w:w="144.0" w:type="dxa"/>
              <w:right w:w="144.0" w:type="dxa"/>
            </w:tcMar>
          </w:tcPr>
          <w:p w:rsidR="00000000" w:rsidDel="00000000" w:rsidP="00000000" w:rsidRDefault="00000000" w:rsidRPr="00000000" w14:paraId="00000011">
            <w:pPr>
              <w:spacing w:after="0" w:line="240" w:lineRule="auto"/>
              <w:rPr/>
            </w:pPr>
            <w:bookmarkStart w:colFirst="0" w:colLast="0" w:name="_mhtvyxq92qxl" w:id="2"/>
            <w:bookmarkEnd w:id="2"/>
            <w:r w:rsidDel="00000000" w:rsidR="00000000" w:rsidRPr="00000000">
              <w:rPr/>
              <w:drawing>
                <wp:inline distB="114300" distT="114300" distL="114300" distR="114300">
                  <wp:extent cx="5067300" cy="39243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067300" cy="3924300"/>
                          </a:xfrm>
                          <a:prstGeom prst="rect"/>
                          <a:ln/>
                        </pic:spPr>
                      </pic:pic>
                    </a:graphicData>
                  </a:graphic>
                </wp:inline>
              </w:drawing>
            </w:r>
            <w:r w:rsidDel="00000000" w:rsidR="00000000" w:rsidRPr="00000000">
              <w:rPr>
                <w:rtl w:val="0"/>
              </w:rPr>
            </w:r>
          </w:p>
        </w:tc>
      </w:tr>
      <w:tr>
        <w:trPr>
          <w:cantSplit w:val="0"/>
          <w:trHeight w:val="528" w:hRule="atLeast"/>
          <w:tblHeader w:val="0"/>
        </w:trPr>
        <w:tc>
          <w:tcPr>
            <w:tcMar>
              <w:top w:w="144.0" w:type="dxa"/>
              <w:left w:w="144.0" w:type="dxa"/>
              <w:bottom w:w="144.0" w:type="dxa"/>
              <w:right w:w="144.0" w:type="dxa"/>
            </w:tcMar>
            <w:vAlign w:val="bottom"/>
          </w:tcPr>
          <w:p w:rsidR="00000000" w:rsidDel="00000000" w:rsidP="00000000" w:rsidRDefault="00000000" w:rsidRPr="00000000" w14:paraId="00000012">
            <w:pPr>
              <w:rPr/>
            </w:pPr>
            <w:r w:rsidDel="00000000" w:rsidR="00000000" w:rsidRPr="00000000">
              <w:rPr>
                <w:b w:val="1"/>
                <w:rtl w:val="0"/>
              </w:rPr>
              <w:t xml:space="preserve">Map: Age at Which a Driver</w:t>
              <w:br w:type="textWrapping"/>
              <w:t xml:space="preserve">May Obtain a Driver's License</w:t>
              <w:br w:type="textWrapping"/>
            </w:r>
            <w:r w:rsidDel="00000000" w:rsidR="00000000" w:rsidRPr="00000000">
              <w:rPr>
                <w:rtl w:val="0"/>
              </w:rPr>
              <w:t xml:space="preserve">Source: </w:t>
            </w:r>
            <w:hyperlink r:id="rId10">
              <w:r w:rsidDel="00000000" w:rsidR="00000000" w:rsidRPr="00000000">
                <w:rPr>
                  <w:color w:val="004fa3"/>
                  <w:rtl w:val="0"/>
                </w:rPr>
                <w:t xml:space="preserve">Wikimedia Commons</w:t>
              </w:r>
            </w:hyperlink>
            <w:r w:rsidDel="00000000" w:rsidR="00000000" w:rsidRPr="00000000">
              <w:rPr>
                <w:rtl w:val="0"/>
              </w:rPr>
            </w:r>
          </w:p>
        </w:tc>
        <w:tc>
          <w:tcPr>
            <w:vMerge w:val="continue"/>
            <w:tcMar>
              <w:top w:w="144.0" w:type="dxa"/>
              <w:left w:w="144.0" w:type="dxa"/>
              <w:bottom w:w="144.0" w:type="dxa"/>
              <w:right w:w="144.0" w:type="dxa"/>
            </w:tcMar>
          </w:tcPr>
          <w:p w:rsidR="00000000" w:rsidDel="00000000" w:rsidP="00000000" w:rsidRDefault="00000000" w:rsidRPr="00000000" w14:paraId="00000013">
            <w:pPr>
              <w:spacing w:after="0" w:line="240" w:lineRule="auto"/>
              <w:rPr>
                <w:color w:val="004fa3"/>
              </w:rPr>
            </w:pPr>
            <w:r w:rsidDel="00000000" w:rsidR="00000000" w:rsidRPr="00000000">
              <w:rPr>
                <w:rtl w:val="0"/>
              </w:rPr>
            </w:r>
          </w:p>
        </w:tc>
      </w:tr>
    </w:tbl>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tbl>
      <w:tblPr>
        <w:tblStyle w:val="Table3"/>
        <w:tblW w:w="14400.0" w:type="dxa"/>
        <w:jc w:val="left"/>
        <w:tblBorders>
          <w:top w:color="ffffff" w:space="0" w:sz="12" w:val="single"/>
          <w:left w:color="ffffff" w:space="0" w:sz="12" w:val="single"/>
          <w:bottom w:color="ffffff" w:space="0" w:sz="12" w:val="single"/>
          <w:right w:color="ffffff" w:space="0" w:sz="12" w:val="single"/>
          <w:insideH w:color="ffffff" w:space="0" w:sz="12" w:val="single"/>
          <w:insideV w:color="ffffff" w:space="0" w:sz="12" w:val="single"/>
        </w:tblBorders>
        <w:tblLayout w:type="fixed"/>
        <w:tblLook w:val="0600"/>
      </w:tblPr>
      <w:tblGrid>
        <w:gridCol w:w="6120"/>
        <w:gridCol w:w="8280"/>
        <w:tblGridChange w:id="0">
          <w:tblGrid>
            <w:gridCol w:w="6120"/>
            <w:gridCol w:w="8280"/>
          </w:tblGrid>
        </w:tblGridChange>
      </w:tblGrid>
      <w:tr>
        <w:trPr>
          <w:cantSplit w:val="0"/>
          <w:trHeight w:val="455.99999999999994" w:hRule="atLeast"/>
          <w:tblHeader w:val="0"/>
        </w:trPr>
        <w:tc>
          <w:tcPr>
            <w:gridSpan w:val="2"/>
            <w:shd w:fill="d6d6d6" w:val="clear"/>
            <w:tcMar>
              <w:top w:w="107.99999999999999" w:type="dxa"/>
              <w:left w:w="107.99999999999999" w:type="dxa"/>
              <w:bottom w:w="107.99999999999999" w:type="dxa"/>
              <w:right w:w="107.99999999999999" w:type="dxa"/>
            </w:tcMar>
          </w:tcPr>
          <w:p w:rsidR="00000000" w:rsidDel="00000000" w:rsidP="00000000" w:rsidRDefault="00000000" w:rsidRPr="00000000" w14:paraId="00000017">
            <w:pPr>
              <w:pStyle w:val="Heading4"/>
              <w:widowControl w:val="0"/>
              <w:spacing w:before="0" w:line="240" w:lineRule="auto"/>
              <w:rPr/>
            </w:pPr>
            <w:bookmarkStart w:colFirst="0" w:colLast="0" w:name="_b5gg3lahzvrr" w:id="5"/>
            <w:bookmarkEnd w:id="5"/>
            <w:r w:rsidDel="00000000" w:rsidR="00000000" w:rsidRPr="00000000">
              <w:rPr>
                <w:rtl w:val="0"/>
              </w:rPr>
              <w:t xml:space="preserve">Team: </w:t>
            </w:r>
            <w:r w:rsidDel="00000000" w:rsidR="00000000" w:rsidRPr="00000000">
              <w:rPr>
                <w:rFonts w:ascii="Arial" w:cs="Arial" w:eastAsia="Arial" w:hAnsi="Arial"/>
                <w:color w:val="000000"/>
                <w:rtl w:val="0"/>
              </w:rPr>
              <w:t xml:space="preserve">Civic Education</w:t>
            </w:r>
            <w:r w:rsidDel="00000000" w:rsidR="00000000" w:rsidRPr="00000000">
              <w:rPr>
                <w:rtl w:val="0"/>
              </w:rPr>
            </w:r>
          </w:p>
        </w:tc>
      </w:tr>
      <w:tr>
        <w:trPr>
          <w:cantSplit w:val="0"/>
          <w:trHeight w:val="928" w:hRule="atLeast"/>
          <w:tblHeader w:val="0"/>
        </w:trPr>
        <w:tc>
          <w:tcPr>
            <w:shd w:fill="e9f4ff" w:val="clear"/>
            <w:tcMar>
              <w:top w:w="144.0" w:type="dxa"/>
              <w:left w:w="144.0" w:type="dxa"/>
              <w:bottom w:w="144.0" w:type="dxa"/>
              <w:right w:w="144.0" w:type="dxa"/>
            </w:tcMar>
          </w:tcPr>
          <w:p w:rsidR="00000000" w:rsidDel="00000000" w:rsidP="00000000" w:rsidRDefault="00000000" w:rsidRPr="00000000" w14:paraId="00000019">
            <w:pPr>
              <w:pStyle w:val="Heading3"/>
              <w:spacing w:before="0" w:lineRule="auto"/>
              <w:rPr/>
            </w:pPr>
            <w:bookmarkStart w:colFirst="0" w:colLast="0" w:name="_lxo6axxqiv9g" w:id="6"/>
            <w:bookmarkEnd w:id="6"/>
            <w:r w:rsidDel="00000000" w:rsidR="00000000" w:rsidRPr="00000000">
              <w:rPr>
                <w:rtl w:val="0"/>
              </w:rPr>
              <w:t xml:space="preserve">Civics Graduation Requirement</w:t>
            </w:r>
          </w:p>
          <w:p w:rsidR="00000000" w:rsidDel="00000000" w:rsidP="00000000" w:rsidRDefault="00000000" w:rsidRPr="00000000" w14:paraId="0000001A">
            <w:pPr>
              <w:spacing w:after="0" w:before="300" w:lineRule="auto"/>
              <w:rPr/>
            </w:pPr>
            <w:r w:rsidDel="00000000" w:rsidR="00000000" w:rsidRPr="00000000">
              <w:rPr>
                <w:rtl w:val="0"/>
              </w:rPr>
              <w:t xml:space="preserve">Education is primarily the responsibility of the state and local governments, and there is no national civics graduation requirement for U.S. students. It is states and local communities, as well as public and private organizations of all kinds, that establish schools, develop curricula, and determine requirements for enrollment and graduation. The federal government does play a role in protecting students’ rights as the equal protection clause of the 14th Amendment specifies that a state may not “deny to any person within its jurisdiction the equal protection of the laws.” Additionally, in the Brown v. Board of Education of Topeka decision, the Supreme Court ruled that “separate but equal” facilities are inherently unequal and segregation of public education is unconstitutional. The federal government plays a supporting role to local and state education authorities. One way is through federal funding provided to states and local school districts.</w:t>
            </w:r>
          </w:p>
        </w:tc>
        <w:tc>
          <w:tcPr>
            <w:vMerge w:val="restart"/>
            <w:tcMar>
              <w:top w:w="144.0" w:type="dxa"/>
              <w:left w:w="144.0" w:type="dxa"/>
              <w:bottom w:w="144.0" w:type="dxa"/>
              <w:right w:w="144.0" w:type="dxa"/>
            </w:tcMar>
          </w:tcPr>
          <w:p w:rsidR="00000000" w:rsidDel="00000000" w:rsidP="00000000" w:rsidRDefault="00000000" w:rsidRPr="00000000" w14:paraId="0000001B">
            <w:pPr>
              <w:spacing w:after="0" w:line="240" w:lineRule="auto"/>
              <w:rPr/>
            </w:pPr>
            <w:bookmarkStart w:colFirst="0" w:colLast="0" w:name="_mhtvyxq92qxl" w:id="2"/>
            <w:bookmarkEnd w:id="2"/>
            <w:r w:rsidDel="00000000" w:rsidR="00000000" w:rsidRPr="00000000">
              <w:rPr/>
              <w:drawing>
                <wp:inline distB="114300" distT="114300" distL="114300" distR="114300">
                  <wp:extent cx="5067300" cy="39243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067300" cy="3924300"/>
                          </a:xfrm>
                          <a:prstGeom prst="rect"/>
                          <a:ln/>
                        </pic:spPr>
                      </pic:pic>
                    </a:graphicData>
                  </a:graphic>
                </wp:inline>
              </w:drawing>
            </w:r>
            <w:r w:rsidDel="00000000" w:rsidR="00000000" w:rsidRPr="00000000">
              <w:rPr>
                <w:rtl w:val="0"/>
              </w:rPr>
            </w:r>
          </w:p>
        </w:tc>
      </w:tr>
      <w:tr>
        <w:trPr>
          <w:cantSplit w:val="0"/>
          <w:trHeight w:val="528" w:hRule="atLeast"/>
          <w:tblHeader w:val="0"/>
        </w:trPr>
        <w:tc>
          <w:tcPr>
            <w:tcMar>
              <w:top w:w="144.0" w:type="dxa"/>
              <w:left w:w="144.0" w:type="dxa"/>
              <w:bottom w:w="144.0" w:type="dxa"/>
              <w:right w:w="144.0" w:type="dxa"/>
            </w:tcMar>
            <w:vAlign w:val="bottom"/>
          </w:tcPr>
          <w:p w:rsidR="00000000" w:rsidDel="00000000" w:rsidP="00000000" w:rsidRDefault="00000000" w:rsidRPr="00000000" w14:paraId="0000001C">
            <w:pPr>
              <w:rPr>
                <w:color w:val="004fa3"/>
              </w:rPr>
            </w:pPr>
            <w:r w:rsidDel="00000000" w:rsidR="00000000" w:rsidRPr="00000000">
              <w:rPr>
                <w:b w:val="1"/>
                <w:rtl w:val="0"/>
              </w:rPr>
              <w:t xml:space="preserve">Map: States Requiring Civics Credits</w:t>
              <w:br w:type="textWrapping"/>
              <w:t xml:space="preserve">to Graduate High School in 2023</w:t>
              <w:br w:type="textWrapping"/>
            </w:r>
            <w:r w:rsidDel="00000000" w:rsidR="00000000" w:rsidRPr="00000000">
              <w:rPr>
                <w:rtl w:val="0"/>
              </w:rPr>
              <w:t xml:space="preserve">Source: </w:t>
            </w:r>
            <w:hyperlink r:id="rId12">
              <w:r w:rsidDel="00000000" w:rsidR="00000000" w:rsidRPr="00000000">
                <w:rPr>
                  <w:color w:val="004fa3"/>
                  <w:rtl w:val="0"/>
                </w:rPr>
                <w:t xml:space="preserve">Education Commission of the States</w:t>
              </w:r>
            </w:hyperlink>
            <w:r w:rsidDel="00000000" w:rsidR="00000000" w:rsidRPr="00000000">
              <w:rPr>
                <w:rtl w:val="0"/>
              </w:rPr>
            </w:r>
          </w:p>
        </w:tc>
        <w:tc>
          <w:tcPr>
            <w:vMerge w:val="continue"/>
            <w:tcMar>
              <w:top w:w="144.0" w:type="dxa"/>
              <w:left w:w="144.0" w:type="dxa"/>
              <w:bottom w:w="144.0" w:type="dxa"/>
              <w:right w:w="144.0" w:type="dxa"/>
            </w:tcMar>
          </w:tcPr>
          <w:p w:rsidR="00000000" w:rsidDel="00000000" w:rsidP="00000000" w:rsidRDefault="00000000" w:rsidRPr="00000000" w14:paraId="0000001D">
            <w:pPr>
              <w:spacing w:after="0" w:line="240" w:lineRule="auto"/>
              <w:rPr>
                <w:color w:val="004fa3"/>
              </w:rPr>
            </w:pPr>
            <w:r w:rsidDel="00000000" w:rsidR="00000000" w:rsidRPr="00000000">
              <w:rPr>
                <w:rtl w:val="0"/>
              </w:rPr>
            </w:r>
          </w:p>
        </w:tc>
      </w:tr>
    </w:tbl>
    <w:p w:rsidR="00000000" w:rsidDel="00000000" w:rsidP="00000000" w:rsidRDefault="00000000" w:rsidRPr="00000000" w14:paraId="0000001E">
      <w:pPr>
        <w:rPr/>
      </w:pPr>
      <w:r w:rsidDel="00000000" w:rsidR="00000000" w:rsidRPr="00000000">
        <w:rPr>
          <w:rtl w:val="0"/>
        </w:rPr>
      </w:r>
    </w:p>
    <w:sectPr>
      <w:headerReference r:id="rId13" w:type="default"/>
      <w:footerReference r:id="rId14" w:type="default"/>
      <w:pgSz w:h="12240" w:w="15840" w:orient="landscape"/>
      <w:pgMar w:bottom="1627.1999999999998" w:top="1324.8000000000002"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IBM Plex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BM Plex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ewsread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pStyle w:val="Heading6"/>
      <w:spacing w:before="100" w:lineRule="auto"/>
      <w:ind w:left="0" w:firstLine="0"/>
      <w:rPr/>
    </w:pPr>
    <w:bookmarkStart w:colFirst="0" w:colLast="0" w:name="_wz4xqz6ubvoc" w:id="8"/>
    <w:bookmarkEnd w:id="8"/>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wp:posOffset>
          </wp:positionV>
          <wp:extent cx="9144000" cy="38100"/>
          <wp:effectExtent b="0" l="0" r="0" t="0"/>
          <wp:wrapNone/>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144000" cy="3810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pStyle w:val="Heading5"/>
      <w:rPr/>
    </w:pPr>
    <w:bookmarkStart w:colFirst="0" w:colLast="0" w:name="_11dswytin9xs" w:id="7"/>
    <w:bookmarkEnd w:id="7"/>
    <w:r w:rsidDel="00000000" w:rsidR="00000000" w:rsidRPr="00000000">
      <w:rPr>
        <w:rtl w:val="0"/>
      </w:rPr>
      <w:t xml:space="preserve">U4 Explore</w:t>
    </w:r>
    <w:r w:rsidDel="00000000" w:rsidR="00000000" w:rsidRPr="00000000">
      <w:rPr/>
      <w:drawing>
        <wp:anchor allowOverlap="1" behindDoc="0" distB="0" distT="0" distL="0" distR="0" hidden="0" layoutInCell="1" locked="0" relativeHeight="0" simplePos="0">
          <wp:simplePos x="0" y="0"/>
          <wp:positionH relativeFrom="page">
            <wp:posOffset>0</wp:posOffset>
          </wp:positionH>
          <wp:positionV relativeFrom="page">
            <wp:posOffset>0</wp:posOffset>
          </wp:positionV>
          <wp:extent cx="2052275" cy="841248"/>
          <wp:effectExtent b="0" l="0" r="0" t="0"/>
          <wp:wrapSquare wrapText="bothSides" distB="0" distT="0" distL="0" distR="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52275" cy="84124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Newsreader" w:cs="Newsreader" w:eastAsia="Newsreader" w:hAnsi="Newsreader"/>
        <w:color w:val="393435"/>
        <w:sz w:val="24"/>
        <w:szCs w:val="24"/>
        <w:lang w:val="en"/>
      </w:rPr>
    </w:rPrDefault>
    <w:pPrDefault>
      <w:pPr>
        <w:spacing w:after="3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600" w:line="192.00000000000003" w:lineRule="auto"/>
    </w:pPr>
    <w:rPr>
      <w:rFonts w:ascii="IBM Plex Sans" w:cs="IBM Plex Sans" w:eastAsia="IBM Plex Sans" w:hAnsi="IBM Plex Sans"/>
      <w:b w:val="1"/>
      <w:color w:val="231f20"/>
      <w:sz w:val="120"/>
      <w:szCs w:val="120"/>
    </w:rPr>
  </w:style>
  <w:style w:type="paragraph" w:styleId="Heading2">
    <w:name w:val="heading 2"/>
    <w:basedOn w:val="Normal"/>
    <w:next w:val="Normal"/>
    <w:pPr>
      <w:keepNext w:val="1"/>
      <w:keepLines w:val="1"/>
      <w:spacing w:after="0" w:before="300" w:line="192.00000000000003" w:lineRule="auto"/>
    </w:pPr>
    <w:rPr>
      <w:rFonts w:ascii="IBM Plex Sans" w:cs="IBM Plex Sans" w:eastAsia="IBM Plex Sans" w:hAnsi="IBM Plex Sans"/>
      <w:b w:val="1"/>
      <w:color w:val="231f20"/>
      <w:sz w:val="64"/>
      <w:szCs w:val="64"/>
    </w:rPr>
  </w:style>
  <w:style w:type="paragraph" w:styleId="Heading3">
    <w:name w:val="heading 3"/>
    <w:basedOn w:val="Normal"/>
    <w:next w:val="Normal"/>
    <w:pPr>
      <w:keepNext w:val="1"/>
      <w:keepLines w:val="1"/>
      <w:spacing w:after="0" w:before="300" w:line="192.00000000000003" w:lineRule="auto"/>
    </w:pPr>
    <w:rPr>
      <w:rFonts w:ascii="IBM Plex Sans" w:cs="IBM Plex Sans" w:eastAsia="IBM Plex Sans" w:hAnsi="IBM Plex Sans"/>
      <w:b w:val="1"/>
      <w:color w:val="231f20"/>
      <w:sz w:val="30"/>
      <w:szCs w:val="30"/>
    </w:rPr>
  </w:style>
  <w:style w:type="paragraph" w:styleId="Heading4">
    <w:name w:val="heading 4"/>
    <w:basedOn w:val="Normal"/>
    <w:next w:val="Normal"/>
    <w:pPr>
      <w:keepNext w:val="1"/>
      <w:keepLines w:val="1"/>
      <w:spacing w:after="0" w:before="300" w:line="192.00000000000003" w:lineRule="auto"/>
    </w:pPr>
    <w:rPr>
      <w:rFonts w:ascii="IBM Plex Sans" w:cs="IBM Plex Sans" w:eastAsia="IBM Plex Sans" w:hAnsi="IBM Plex Sans"/>
      <w:b w:val="1"/>
      <w:color w:val="231f20"/>
    </w:rPr>
  </w:style>
  <w:style w:type="paragraph" w:styleId="Heading5">
    <w:name w:val="heading 5"/>
    <w:basedOn w:val="Normal"/>
    <w:next w:val="Normal"/>
    <w:pPr>
      <w:keepNext w:val="1"/>
      <w:keepLines w:val="1"/>
      <w:spacing w:after="600" w:line="192.00000000000003" w:lineRule="auto"/>
      <w:ind w:left="-720" w:firstLine="0"/>
      <w:jc w:val="right"/>
    </w:pPr>
    <w:rPr>
      <w:rFonts w:ascii="IBM Plex Sans" w:cs="IBM Plex Sans" w:eastAsia="IBM Plex Sans" w:hAnsi="IBM Plex Sans"/>
      <w:color w:val="504b4b"/>
      <w:sz w:val="20"/>
      <w:szCs w:val="20"/>
    </w:rPr>
  </w:style>
  <w:style w:type="paragraph" w:styleId="Heading6">
    <w:name w:val="heading 6"/>
    <w:basedOn w:val="Normal"/>
    <w:next w:val="Normal"/>
    <w:pPr>
      <w:keepNext w:val="1"/>
      <w:keepLines w:val="1"/>
      <w:spacing w:after="0" w:line="192.00000000000003" w:lineRule="auto"/>
      <w:ind w:left="-720" w:firstLine="0"/>
      <w:jc w:val="right"/>
    </w:pPr>
    <w:rPr>
      <w:rFonts w:ascii="IBM Plex Sans" w:cs="IBM Plex Sans" w:eastAsia="IBM Plex Sans" w:hAnsi="IBM Plex Sans"/>
      <w:b w:val="1"/>
      <w:sz w:val="20"/>
      <w:szCs w:val="20"/>
    </w:rPr>
  </w:style>
  <w:style w:type="paragraph" w:styleId="Title">
    <w:name w:val="Title"/>
    <w:basedOn w:val="Normal"/>
    <w:next w:val="Normal"/>
    <w:pPr>
      <w:keepNext w:val="1"/>
      <w:keepLines w:val="1"/>
      <w:spacing w:after="0" w:line="180" w:lineRule="auto"/>
    </w:pPr>
    <w:rPr>
      <w:rFonts w:ascii="IBM Plex Sans" w:cs="IBM Plex Sans" w:eastAsia="IBM Plex Sans" w:hAnsi="IBM Plex Sans"/>
      <w:b w:val="1"/>
      <w:color w:val="231f20"/>
      <w:sz w:val="220"/>
      <w:szCs w:val="220"/>
    </w:rPr>
  </w:style>
  <w:style w:type="paragraph" w:styleId="Subtitle">
    <w:name w:val="Subtitle"/>
    <w:basedOn w:val="Normal"/>
    <w:next w:val="Normal"/>
    <w:pPr>
      <w:keepNext w:val="1"/>
      <w:keepLines w:val="1"/>
      <w:spacing w:after="0" w:line="180" w:lineRule="auto"/>
    </w:pPr>
    <w:rPr>
      <w:rFonts w:ascii="IBM Plex Sans Light" w:cs="IBM Plex Sans Light" w:eastAsia="IBM Plex Sans Light" w:hAnsi="IBM Plex Sans Light"/>
      <w:color w:val="231f20"/>
      <w:sz w:val="120"/>
      <w:szCs w:val="12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commons.wikimedia.org/wiki/File:Restricted_license_age_requirements_by_US_State.svg" TargetMode="External"/><Relationship Id="rId13" Type="http://schemas.openxmlformats.org/officeDocument/2006/relationships/header" Target="header1.xml"/><Relationship Id="rId12" Type="http://schemas.openxmlformats.org/officeDocument/2006/relationships/hyperlink" Target="https://reports.ecs.org/comparisons/high-school-graduation-requirements-2023-0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yperlink" Target="https://vote16usa.org/wp-content/uploads/2020/02/2020-Vote16USA-White-Paper-v2.10.pdf" TargetMode="External"/><Relationship Id="rId8" Type="http://schemas.openxmlformats.org/officeDocument/2006/relationships/hyperlink" Target="http://vote16usa.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IBMPlexSans-regular.ttf"/><Relationship Id="rId2" Type="http://schemas.openxmlformats.org/officeDocument/2006/relationships/font" Target="fonts/IBMPlexSans-bold.ttf"/><Relationship Id="rId3" Type="http://schemas.openxmlformats.org/officeDocument/2006/relationships/font" Target="fonts/IBMPlexSans-italic.ttf"/><Relationship Id="rId4" Type="http://schemas.openxmlformats.org/officeDocument/2006/relationships/font" Target="fonts/IBMPlexSans-boldItalic.ttf"/><Relationship Id="rId11" Type="http://schemas.openxmlformats.org/officeDocument/2006/relationships/font" Target="fonts/Newsreader-italic.ttf"/><Relationship Id="rId10" Type="http://schemas.openxmlformats.org/officeDocument/2006/relationships/font" Target="fonts/Newsreader-bold.ttf"/><Relationship Id="rId12" Type="http://schemas.openxmlformats.org/officeDocument/2006/relationships/font" Target="fonts/Newsreader-boldItalic.ttf"/><Relationship Id="rId9" Type="http://schemas.openxmlformats.org/officeDocument/2006/relationships/font" Target="fonts/Newsreader-regular.ttf"/><Relationship Id="rId5" Type="http://schemas.openxmlformats.org/officeDocument/2006/relationships/font" Target="fonts/IBMPlexSansLight-regular.ttf"/><Relationship Id="rId6" Type="http://schemas.openxmlformats.org/officeDocument/2006/relationships/font" Target="fonts/IBMPlexSansLight-bold.ttf"/><Relationship Id="rId7" Type="http://schemas.openxmlformats.org/officeDocument/2006/relationships/font" Target="fonts/IBMPlexSansLight-italic.ttf"/><Relationship Id="rId8" Type="http://schemas.openxmlformats.org/officeDocument/2006/relationships/font" Target="fonts/IBMPlex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