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Unlocking Article I, Section 2</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400"/>
        <w:gridCol w:w="5400"/>
        <w:tblGridChange w:id="0">
          <w:tblGrid>
            <w:gridCol w:w="5400"/>
            <w:gridCol w:w="5400"/>
          </w:tblGrid>
        </w:tblGridChange>
      </w:tblGrid>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3">
            <w:pPr>
              <w:pStyle w:val="Heading4"/>
              <w:widowControl w:val="0"/>
              <w:spacing w:before="0" w:line="240" w:lineRule="auto"/>
              <w:rPr/>
            </w:pPr>
            <w:bookmarkStart w:colFirst="0" w:colLast="0" w:name="_tonhsjiryfdf" w:id="2"/>
            <w:bookmarkEnd w:id="2"/>
            <w:r w:rsidDel="00000000" w:rsidR="00000000" w:rsidRPr="00000000">
              <w:rPr>
                <w:rtl w:val="0"/>
              </w:rPr>
              <w:t xml:space="preserve">Vocabulary</w:t>
            </w:r>
          </w:p>
        </w:tc>
      </w:tr>
      <w:tr>
        <w:trPr>
          <w:cantSplit w:val="0"/>
          <w:trHeight w:val="456.48"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keepNext w:val="0"/>
              <w:keepLines w:val="0"/>
              <w:widowControl w:val="0"/>
              <w:spacing w:before="0" w:line="300" w:lineRule="auto"/>
              <w:rPr/>
            </w:pPr>
            <w:r w:rsidDel="00000000" w:rsidR="00000000" w:rsidRPr="00000000">
              <w:rPr>
                <w:rtl w:val="0"/>
              </w:rPr>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5">
            <w:pPr>
              <w:pStyle w:val="Heading4"/>
              <w:keepNext w:val="0"/>
              <w:keepLines w:val="0"/>
              <w:widowControl w:val="0"/>
              <w:numPr>
                <w:ilvl w:val="0"/>
                <w:numId w:val="1"/>
              </w:numPr>
              <w:spacing w:before="0" w:line="300" w:lineRule="auto"/>
              <w:ind w:left="720" w:hanging="360"/>
              <w:rPr>
                <w:rFonts w:ascii="IBM Plex Sans" w:cs="IBM Plex Sans" w:eastAsia="IBM Plex Sans" w:hAnsi="IBM Plex Sans"/>
                <w:b w:val="1"/>
              </w:rPr>
            </w:pPr>
            <w:bookmarkStart w:colFirst="0" w:colLast="0" w:name="_7saqdlrpsz66" w:id="3"/>
            <w:bookmarkEnd w:id="3"/>
            <w:r w:rsidDel="00000000" w:rsidR="00000000" w:rsidRPr="00000000">
              <w:rPr>
                <w:rFonts w:ascii="Newsreader" w:cs="Newsreader" w:eastAsia="Newsreader" w:hAnsi="Newsreader"/>
                <w:rtl w:val="0"/>
              </w:rPr>
              <w:t xml:space="preserve">apportioned</w:t>
            </w:r>
            <w:r w:rsidDel="00000000" w:rsidR="00000000" w:rsidRPr="00000000">
              <w:rPr>
                <w:rFonts w:ascii="Newsreader" w:cs="Newsreader" w:eastAsia="Newsreader" w:hAnsi="Newsreader"/>
                <w:b w:val="0"/>
                <w:rtl w:val="0"/>
              </w:rPr>
              <w:t xml:space="preserve">  To divide and share according to a plan.</w:t>
            </w:r>
          </w:p>
          <w:p w:rsidR="00000000" w:rsidDel="00000000" w:rsidP="00000000" w:rsidRDefault="00000000" w:rsidRPr="00000000" w14:paraId="00000006">
            <w:pPr>
              <w:spacing w:line="240" w:lineRule="auto"/>
              <w:rPr/>
            </w:pP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7">
            <w:pPr>
              <w:pStyle w:val="Heading4"/>
              <w:widowControl w:val="0"/>
              <w:spacing w:before="0" w:line="240" w:lineRule="auto"/>
              <w:rPr/>
            </w:pPr>
            <w:bookmarkStart w:colFirst="0" w:colLast="0" w:name="_y5l1gemkuxzl" w:id="4"/>
            <w:bookmarkEnd w:id="4"/>
            <w:r w:rsidDel="00000000" w:rsidR="00000000" w:rsidRPr="00000000">
              <w:rPr>
                <w:rtl w:val="0"/>
              </w:rPr>
              <w:t xml:space="preserve">Step 1: Read Article I, Section 2 of the U.S. Constitution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9">
            <w:pPr>
              <w:keepNext w:val="0"/>
              <w:keepLines w:val="0"/>
              <w:widowControl w:val="0"/>
              <w:spacing w:before="0" w:line="300" w:lineRule="auto"/>
              <w:rPr/>
            </w:pPr>
            <w:r w:rsidDel="00000000" w:rsidR="00000000" w:rsidRPr="00000000">
              <w:rPr>
                <w:rtl w:val="0"/>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B">
            <w:pPr>
              <w:pStyle w:val="Heading4"/>
              <w:widowControl w:val="0"/>
              <w:spacing w:before="0" w:line="240" w:lineRule="auto"/>
              <w:rPr/>
            </w:pPr>
            <w:bookmarkStart w:colFirst="0" w:colLast="0" w:name="_mrs489mhvezb" w:id="6"/>
            <w:bookmarkEnd w:id="6"/>
            <w:r w:rsidDel="00000000" w:rsidR="00000000" w:rsidRPr="00000000">
              <w:rPr>
                <w:rtl w:val="0"/>
              </w:rPr>
              <w:t xml:space="preserve">Step 2: Restate Article I, Section 2 in your own words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D">
            <w:pPr>
              <w:widowControl w:val="0"/>
              <w:rPr/>
            </w:pPr>
            <w:r w:rsidDel="00000000" w:rsidR="00000000" w:rsidRPr="00000000">
              <w:rPr>
                <w:rtl w:val="0"/>
              </w:rPr>
              <w:t xml:space="preserve">I think Article I, Section 2 is saying…</w:t>
            </w:r>
          </w:p>
          <w:p w:rsidR="00000000" w:rsidDel="00000000" w:rsidP="00000000" w:rsidRDefault="00000000" w:rsidRPr="00000000" w14:paraId="0000000E">
            <w:pPr>
              <w:widowControl w:val="0"/>
              <w:rPr/>
            </w:pP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1i77hzwl8d4r" w:id="7"/>
            <w:bookmarkEnd w:id="7"/>
            <w:r w:rsidDel="00000000" w:rsidR="00000000" w:rsidRPr="00000000">
              <w:rPr>
                <w:rtl w:val="0"/>
              </w:rPr>
              <w:t xml:space="preserve">Step 3: What is the purpose of Article I, Section 2?</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rPr/>
            </w:pPr>
            <w:r w:rsidDel="00000000" w:rsidR="00000000" w:rsidRPr="00000000">
              <w:rPr>
                <w:rtl w:val="0"/>
              </w:rPr>
              <w:t xml:space="preserve">I think the purpose of Article I, Section 2 is…</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tc>
      </w:tr>
    </w:tbl>
    <w:p w:rsidR="00000000" w:rsidDel="00000000" w:rsidP="00000000" w:rsidRDefault="00000000" w:rsidRPr="00000000" w14:paraId="0000001E">
      <w:pPr>
        <w:rPr>
          <w:sz w:val="4"/>
          <w:szCs w:val="4"/>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Heading6"/>
      <w:spacing w:line="192.00000000000003" w:lineRule="auto"/>
      <w:ind w:firstLine="0"/>
      <w:jc w:val="both"/>
      <w:rPr/>
    </w:pPr>
    <w:bookmarkStart w:colFirst="0" w:colLast="0" w:name="_pai9ny6ylgr5" w:id="9"/>
    <w:bookmarkEnd w:id="9"/>
    <w:r w:rsidDel="00000000" w:rsidR="00000000" w:rsidRPr="00000000">
      <w:rPr>
        <w:rtl w:val="0"/>
      </w:rPr>
      <w:t xml:space="preserve">Unit 2 | Strategy: Explore</w:t>
      <w:tab/>
      <w:tab/>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Fonts w:ascii="IBM Plex Sans" w:cs="IBM Plex Sans" w:eastAsia="IBM Plex Sans" w:hAnsi="IBM Plex Sans"/>
        <w:b w:val="1"/>
        <w:color w:val="bb181d"/>
        <w:sz w:val="30"/>
        <w:szCs w:val="30"/>
        <w:rtl w:val="0"/>
      </w:rPr>
      <w:t xml:space="preserve">U2 Explore</w:t>
    </w:r>
    <w:r w:rsidDel="00000000" w:rsidR="00000000" w:rsidRPr="00000000">
      <w:rPr>
        <w:rtl w:val="0"/>
      </w:rPr>
    </w:r>
  </w:p>
  <w:p w:rsidR="00000000" w:rsidDel="00000000" w:rsidP="00000000" w:rsidRDefault="00000000" w:rsidRPr="00000000" w14:paraId="00000020">
    <w:pPr>
      <w:pStyle w:val="Heading5"/>
      <w:spacing w:after="300" w:line="192.00000000000003" w:lineRule="auto"/>
      <w:rPr/>
    </w:pPr>
    <w:bookmarkStart w:colFirst="0" w:colLast="0" w:name="_yy68wits8sxx" w:id="8"/>
    <w:bookmarkEnd w:id="8"/>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