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1005840</wp:posOffset>
            </wp:positionV>
            <wp:extent cx="9144000" cy="57658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6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pStyle w:val="Heading6"/>
      <w:spacing w:before="100" w:lineRule="auto"/>
      <w:ind w:left="0" w:firstLine="0"/>
      <w:rPr>
        <w:color w:val="004fa3"/>
      </w:rPr>
    </w:pPr>
    <w:bookmarkStart w:colFirst="0" w:colLast="0" w:name="_wz4xqz6ubvoc" w:id="1"/>
    <w:bookmarkEnd w:id="1"/>
    <w:r w:rsidDel="00000000" w:rsidR="00000000" w:rsidRPr="00000000">
      <w:rPr>
        <w:rtl w:val="0"/>
      </w:rPr>
      <w:t xml:space="preserve">Source: </w:t>
    </w:r>
    <w:hyperlink r:id="rId1">
      <w:r w:rsidDel="00000000" w:rsidR="00000000" w:rsidRPr="00000000">
        <w:rPr>
          <w:color w:val="004fa3"/>
          <w:rtl w:val="0"/>
        </w:rPr>
        <w:t xml:space="preserve">NEH Edsitement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</wp:posOffset>
          </wp:positionV>
          <wp:extent cx="9144000" cy="381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spacing w:after="0" w:lineRule="auto"/>
      <w:jc w:val="right"/>
      <w:rPr>
        <w:color w:val="231f20"/>
      </w:rPr>
    </w:pPr>
    <w:r w:rsidDel="00000000" w:rsidR="00000000" w:rsidRPr="00000000">
      <w:rPr>
        <w:rFonts w:ascii="IBM Plex Sans" w:cs="IBM Plex Sans" w:eastAsia="IBM Plex Sans" w:hAnsi="IBM Plex Sans"/>
        <w:b w:val="1"/>
        <w:color w:val="bb181d"/>
        <w:sz w:val="30"/>
        <w:szCs w:val="30"/>
        <w:rtl w:val="0"/>
      </w:rPr>
      <w:t xml:space="preserve">U2 Engage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3">
    <w:pPr>
      <w:pStyle w:val="Heading5"/>
      <w:rPr/>
    </w:pPr>
    <w:bookmarkStart w:colFirst="0" w:colLast="0" w:name="_11dswytin9xs" w:id="0"/>
    <w:bookmarkEnd w:id="0"/>
    <w:r w:rsidDel="00000000" w:rsidR="00000000" w:rsidRPr="00000000">
      <w:rPr>
        <w:rtl w:val="0"/>
      </w:rPr>
      <w:t xml:space="preserve">Inquiry Guide Activity</w:t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edsitement.neh.gov/sites/default/files/2018-08/Benjamin%20Franklin%27s%20Many%20Hats-Worksheets%20and%20Directions%20for%20making%20Hats.pdf" TargetMode="External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