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color w:val="231f20"/>
          <w:sz w:val="12"/>
          <w:szCs w:val="12"/>
        </w:rPr>
      </w:pPr>
      <w:bookmarkStart w:colFirst="0" w:colLast="0" w:name="_kifz2z9216kj" w:id="0"/>
      <w:bookmarkEnd w:id="0"/>
      <w:r w:rsidDel="00000000" w:rsidR="00000000" w:rsidRPr="00000000">
        <w:rPr>
          <w:rtl w:val="0"/>
        </w:rPr>
        <w:t xml:space="preserve">Denied Representation Resource Bank</w:t>
      </w:r>
      <w:r w:rsidDel="00000000" w:rsidR="00000000" w:rsidRPr="00000000">
        <w:rPr>
          <w:rtl w:val="0"/>
        </w:rPr>
      </w:r>
    </w:p>
    <w:tbl>
      <w:tblPr>
        <w:tblStyle w:val="Table1"/>
        <w:tblW w:w="14430.000000000002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4810.000000000001"/>
        <w:gridCol w:w="4810.000000000001"/>
        <w:gridCol w:w="4810.000000000001"/>
        <w:tblGridChange w:id="0">
          <w:tblGrid>
            <w:gridCol w:w="4810.000000000001"/>
            <w:gridCol w:w="4810.000000000001"/>
            <w:gridCol w:w="4810.000000000001"/>
          </w:tblGrid>
        </w:tblGridChange>
      </w:tblGrid>
      <w:tr>
        <w:trPr>
          <w:cantSplit w:val="0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2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7a28xl7o185" w:id="1"/>
            <w:bookmarkEnd w:id="1"/>
            <w:r w:rsidDel="00000000" w:rsidR="00000000" w:rsidRPr="00000000">
              <w:rPr>
                <w:rtl w:val="0"/>
              </w:rPr>
              <w:t xml:space="preserve">Women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vudlzgid5nrl" w:id="2"/>
            <w:bookmarkEnd w:id="2"/>
            <w:r w:rsidDel="00000000" w:rsidR="00000000" w:rsidRPr="00000000">
              <w:rPr>
                <w:rtl w:val="0"/>
              </w:rPr>
              <w:t xml:space="preserve">Indigenous People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24yr9bqg6doy" w:id="3"/>
            <w:bookmarkEnd w:id="3"/>
            <w:r w:rsidDel="00000000" w:rsidR="00000000" w:rsidRPr="00000000">
              <w:rPr>
                <w:rtl w:val="0"/>
              </w:rPr>
              <w:t xml:space="preserve">People of African Descent</w:t>
            </w:r>
          </w:p>
        </w:tc>
      </w:tr>
      <w:tr>
        <w:trPr>
          <w:cantSplit w:val="0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004fa3"/>
                  <w:rtl w:val="0"/>
                </w:rPr>
                <w:t xml:space="preserve">Voting, Elections, and Representation,</w:t>
                <w:br w:type="textWrapping"/>
                <w:t xml:space="preserve">Part 1: The Expansion of Suffrage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7">
              <w:r w:rsidDel="00000000" w:rsidR="00000000" w:rsidRPr="00000000">
                <w:rPr>
                  <w:color w:val="004fa3"/>
                  <w:rtl w:val="0"/>
                </w:rPr>
                <w:t xml:space="preserve">Women Gain the Right to Vote:</w:t>
                <w:br w:type="textWrapping"/>
                <w:t xml:space="preserve">Women's Suffrage Movement, Part 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004fa3"/>
                  <w:rtl w:val="0"/>
                </w:rPr>
                <w:t xml:space="preserve">Women's Suffrage:</w:t>
                <w:br w:type="textWrapping"/>
                <w:t xml:space="preserve">Crash Course US History #31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004fa3"/>
                  <w:rtl w:val="0"/>
                </w:rPr>
                <w:t xml:space="preserve">Native Hawaiian Women Who</w:t>
                <w:br w:type="textWrapping"/>
                <w:t xml:space="preserve">Rallied for Suffrage (Narrated)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10">
              <w:r w:rsidDel="00000000" w:rsidR="00000000" w:rsidRPr="00000000">
                <w:rPr>
                  <w:color w:val="004fa3"/>
                  <w:rtl w:val="0"/>
                </w:rPr>
                <w:t xml:space="preserve">Winning Latino Support for</w:t>
                <w:br w:type="textWrapping"/>
                <w:t xml:space="preserve">Women's Voting Rights (Narrated)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11">
              <w:r w:rsidDel="00000000" w:rsidR="00000000" w:rsidRPr="00000000">
                <w:rPr>
                  <w:color w:val="004fa3"/>
                  <w:rtl w:val="0"/>
                </w:rPr>
                <w:t xml:space="preserve">Votes for Women:</w:t>
                <w:br w:type="textWrapping"/>
                <w:t xml:space="preserve">How the Suffragists Won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12">
              <w:r w:rsidDel="00000000" w:rsidR="00000000" w:rsidRPr="00000000">
                <w:rPr>
                  <w:color w:val="004fa3"/>
                  <w:rtl w:val="0"/>
                </w:rPr>
                <w:t xml:space="preserve">Voting Rights for Women</w:t>
              </w:r>
            </w:hyperlink>
            <w:r w:rsidDel="00000000" w:rsidR="00000000" w:rsidRPr="00000000">
              <w:rPr>
                <w:color w:val="231f20"/>
                <w:rtl w:val="0"/>
              </w:rPr>
              <w:t xml:space="preserve"> – Classroom Materials at the Library of Congress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13">
              <w:r w:rsidDel="00000000" w:rsidR="00000000" w:rsidRPr="00000000">
                <w:rPr>
                  <w:color w:val="004fa3"/>
                  <w:rtl w:val="0"/>
                </w:rPr>
                <w:t xml:space="preserve">Why Women Couldn't Vote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after="100" w:lineRule="auto"/>
              <w:ind w:left="360" w:hanging="360"/>
              <w:rPr>
                <w:u w:val="none"/>
              </w:rPr>
            </w:pPr>
            <w:hyperlink r:id="rId14">
              <w:r w:rsidDel="00000000" w:rsidR="00000000" w:rsidRPr="00000000">
                <w:rPr>
                  <w:color w:val="004fa3"/>
                  <w:rtl w:val="0"/>
                </w:rPr>
                <w:t xml:space="preserve">Votes for Women</w:t>
              </w:r>
            </w:hyperlink>
            <w:r w:rsidDel="00000000" w:rsidR="00000000" w:rsidRPr="00000000">
              <w:rPr>
                <w:color w:val="231f20"/>
                <w:rtl w:val="0"/>
              </w:rPr>
              <w:t xml:space="preserve"> –</w:t>
              <w:br w:type="textWrapping"/>
              <w:t xml:space="preserve">Smithsonian Institution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after="0" w:lineRule="auto"/>
              <w:ind w:left="360" w:hanging="360"/>
              <w:rPr>
                <w:color w:val="231f20"/>
                <w:u w:val="none"/>
              </w:rPr>
            </w:pPr>
            <w:r w:rsidDel="00000000" w:rsidR="00000000" w:rsidRPr="00000000">
              <w:rPr>
                <w:i w:val="1"/>
                <w:color w:val="231f20"/>
                <w:rtl w:val="0"/>
              </w:rPr>
              <w:t xml:space="preserve">We the People</w:t>
            </w:r>
            <w:r w:rsidDel="00000000" w:rsidR="00000000" w:rsidRPr="00000000">
              <w:rPr>
                <w:color w:val="231f20"/>
                <w:rtl w:val="0"/>
              </w:rPr>
              <w:t xml:space="preserve">, Level 2, pp.204, 207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15">
              <w:r w:rsidDel="00000000" w:rsidR="00000000" w:rsidRPr="00000000">
                <w:rPr>
                  <w:color w:val="004fa3"/>
                  <w:rtl w:val="0"/>
                </w:rPr>
                <w:t xml:space="preserve">Denial of Native American</w:t>
                <w:br w:type="textWrapping"/>
                <w:t xml:space="preserve">Citizenship and Voting Rights:</w:t>
                <w:br w:type="textWrapping"/>
                <w:t xml:space="preserve">Native American Heritage Month, Part 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16">
              <w:r w:rsidDel="00000000" w:rsidR="00000000" w:rsidRPr="00000000">
                <w:rPr>
                  <w:color w:val="004fa3"/>
                  <w:rtl w:val="0"/>
                </w:rPr>
                <w:t xml:space="preserve">Indian Citizenship Act of 1924:</w:t>
                <w:br w:type="textWrapping"/>
                <w:t xml:space="preserve">Native American Heritage Month, Part 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17">
              <w:r w:rsidDel="00000000" w:rsidR="00000000" w:rsidRPr="00000000">
                <w:rPr>
                  <w:color w:val="004fa3"/>
                  <w:rtl w:val="0"/>
                </w:rPr>
                <w:t xml:space="preserve">How Suffragist Marie Louise Bottineau Baldwin Spoke Up (Narrated)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18">
              <w:r w:rsidDel="00000000" w:rsidR="00000000" w:rsidRPr="00000000">
                <w:rPr>
                  <w:color w:val="004fa3"/>
                  <w:rtl w:val="0"/>
                </w:rPr>
                <w:t xml:space="preserve">The History of Voting from an Indigenous Perspective</w:t>
              </w:r>
            </w:hyperlink>
            <w:r w:rsidDel="00000000" w:rsidR="00000000" w:rsidRPr="00000000">
              <w:rPr>
                <w:color w:val="231f20"/>
                <w:rtl w:val="0"/>
              </w:rPr>
              <w:t xml:space="preserve"> – NowThis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19">
              <w:r w:rsidDel="00000000" w:rsidR="00000000" w:rsidRPr="00000000">
                <w:rPr>
                  <w:color w:val="004fa3"/>
                  <w:rtl w:val="0"/>
                </w:rPr>
                <w:t xml:space="preserve">Understanding the Voting Challenges Facing Native Americans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0">
              <w:r w:rsidDel="00000000" w:rsidR="00000000" w:rsidRPr="00000000">
                <w:rPr>
                  <w:color w:val="004fa3"/>
                  <w:rtl w:val="0"/>
                </w:rPr>
                <w:t xml:space="preserve">Voting Rights for Native Americans</w:t>
              </w:r>
            </w:hyperlink>
            <w:r w:rsidDel="00000000" w:rsidR="00000000" w:rsidRPr="00000000">
              <w:rPr>
                <w:color w:val="231f20"/>
                <w:rtl w:val="0"/>
              </w:rPr>
              <w:t xml:space="preserve"> – Classroom Materials at the</w:t>
              <w:br w:type="textWrapping"/>
              <w:t xml:space="preserve">Library of Congress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1">
              <w:r w:rsidDel="00000000" w:rsidR="00000000" w:rsidRPr="00000000">
                <w:rPr>
                  <w:color w:val="004fa3"/>
                  <w:rtl w:val="0"/>
                </w:rPr>
                <w:t xml:space="preserve">Citizenship and Voting Rights of Indigenous People</w:t>
              </w:r>
            </w:hyperlink>
            <w:r w:rsidDel="00000000" w:rsidR="00000000" w:rsidRPr="00000000">
              <w:rPr>
                <w:color w:val="231f20"/>
                <w:rtl w:val="0"/>
              </w:rPr>
              <w:t xml:space="preserve"> – Khan Academy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2">
              <w:r w:rsidDel="00000000" w:rsidR="00000000" w:rsidRPr="00000000">
                <w:rPr>
                  <w:color w:val="004fa3"/>
                  <w:rtl w:val="0"/>
                </w:rPr>
                <w:t xml:space="preserve">Native Americans and the Homestead Act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after="0" w:lineRule="auto"/>
              <w:ind w:left="360" w:hanging="360"/>
              <w:rPr>
                <w:color w:val="231f20"/>
                <w:u w:val="none"/>
              </w:rPr>
            </w:pPr>
            <w:r w:rsidDel="00000000" w:rsidR="00000000" w:rsidRPr="00000000">
              <w:rPr>
                <w:i w:val="1"/>
                <w:color w:val="231f20"/>
                <w:rtl w:val="0"/>
              </w:rPr>
              <w:t xml:space="preserve">We the People</w:t>
            </w:r>
            <w:r w:rsidDel="00000000" w:rsidR="00000000" w:rsidRPr="00000000">
              <w:rPr>
                <w:color w:val="231f20"/>
                <w:rtl w:val="0"/>
              </w:rPr>
              <w:t xml:space="preserve">, Level 2, p.208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3">
              <w:r w:rsidDel="00000000" w:rsidR="00000000" w:rsidRPr="00000000">
                <w:rPr>
                  <w:color w:val="004fa3"/>
                  <w:rtl w:val="0"/>
                </w:rPr>
                <w:t xml:space="preserve">Three-Fifths Compromise:</w:t>
                <w:br w:type="textWrapping"/>
                <w:t xml:space="preserve">Black History Month, Part 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4">
              <w:r w:rsidDel="00000000" w:rsidR="00000000" w:rsidRPr="00000000">
                <w:rPr>
                  <w:color w:val="004fa3"/>
                  <w:rtl w:val="0"/>
                </w:rPr>
                <w:t xml:space="preserve">Voting, Elections, and Representation, Part 9: The Fifteenth Amendment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5">
              <w:r w:rsidDel="00000000" w:rsidR="00000000" w:rsidRPr="00000000">
                <w:rPr>
                  <w:color w:val="004fa3"/>
                  <w:rtl w:val="0"/>
                </w:rPr>
                <w:t xml:space="preserve">Voting Rights Act of 1965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6">
              <w:r w:rsidDel="00000000" w:rsidR="00000000" w:rsidRPr="00000000">
                <w:rPr>
                  <w:color w:val="004fa3"/>
                  <w:rtl w:val="0"/>
                </w:rPr>
                <w:t xml:space="preserve">Reconstruction: Crash Course Black American History #19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7">
              <w:r w:rsidDel="00000000" w:rsidR="00000000" w:rsidRPr="00000000">
                <w:rPr>
                  <w:color w:val="004fa3"/>
                  <w:rtl w:val="0"/>
                </w:rPr>
                <w:t xml:space="preserve">Ida B. Wells Knew How to Craft the Perfect Image for Her Cause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8">
              <w:r w:rsidDel="00000000" w:rsidR="00000000" w:rsidRPr="00000000">
                <w:rPr>
                  <w:color w:val="004fa3"/>
                  <w:rtl w:val="0"/>
                </w:rPr>
                <w:t xml:space="preserve">Fannie Lou Hamer Risked Her Life for the Right to Vote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29">
              <w:r w:rsidDel="00000000" w:rsidR="00000000" w:rsidRPr="00000000">
                <w:rPr>
                  <w:color w:val="004fa3"/>
                  <w:rtl w:val="0"/>
                </w:rPr>
                <w:t xml:space="preserve">Voting Rights for African Americans</w:t>
              </w:r>
            </w:hyperlink>
            <w:r w:rsidDel="00000000" w:rsidR="00000000" w:rsidRPr="00000000">
              <w:rPr>
                <w:color w:val="231f20"/>
                <w:rtl w:val="0"/>
              </w:rPr>
              <w:t xml:space="preserve"> – Classroom Materials at the</w:t>
              <w:br w:type="textWrapping"/>
              <w:t xml:space="preserve">Library of Congress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30">
              <w:r w:rsidDel="00000000" w:rsidR="00000000" w:rsidRPr="00000000">
                <w:rPr>
                  <w:color w:val="004fa3"/>
                  <w:rtl w:val="0"/>
                </w:rPr>
                <w:t xml:space="preserve">150 Years and Counting</w:t>
              </w:r>
            </w:hyperlink>
            <w:r w:rsidDel="00000000" w:rsidR="00000000" w:rsidRPr="00000000">
              <w:rPr>
                <w:color w:val="231f20"/>
                <w:rtl w:val="0"/>
              </w:rPr>
              <w:t xml:space="preserve"> – National Museum of African American History and Culture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after="100" w:lineRule="auto"/>
              <w:ind w:left="360" w:hanging="360"/>
              <w:rPr>
                <w:color w:val="231f20"/>
                <w:u w:val="none"/>
              </w:rPr>
            </w:pPr>
            <w:hyperlink r:id="rId31">
              <w:r w:rsidDel="00000000" w:rsidR="00000000" w:rsidRPr="00000000">
                <w:rPr>
                  <w:color w:val="004fa3"/>
                  <w:rtl w:val="0"/>
                </w:rPr>
                <w:t xml:space="preserve">Theresa Burroughs and Toni Love</w:t>
              </w:r>
            </w:hyperlink>
            <w:r w:rsidDel="00000000" w:rsidR="00000000" w:rsidRPr="00000000">
              <w:rPr>
                <w:color w:val="231f20"/>
                <w:rtl w:val="0"/>
              </w:rPr>
              <w:t xml:space="preserve"> – StoryCorps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after="0" w:lineRule="auto"/>
              <w:ind w:left="360" w:hanging="360"/>
              <w:rPr>
                <w:color w:val="231f20"/>
                <w:u w:val="none"/>
              </w:rPr>
            </w:pPr>
            <w:r w:rsidDel="00000000" w:rsidR="00000000" w:rsidRPr="00000000">
              <w:rPr>
                <w:i w:val="1"/>
                <w:color w:val="231f20"/>
                <w:rtl w:val="0"/>
              </w:rPr>
              <w:t xml:space="preserve">We the People</w:t>
            </w:r>
            <w:r w:rsidDel="00000000" w:rsidR="00000000" w:rsidRPr="00000000">
              <w:rPr>
                <w:color w:val="231f20"/>
                <w:rtl w:val="0"/>
              </w:rPr>
              <w:t xml:space="preserve">, Level 2, pp.205–207</w:t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Heading6"/>
      <w:spacing w:before="100" w:lineRule="auto"/>
      <w:ind w:left="0" w:firstLine="0"/>
      <w:rPr/>
    </w:pPr>
    <w:bookmarkStart w:colFirst="0" w:colLast="0" w:name="_wz4xqz6ubvoc" w:id="5"/>
    <w:bookmarkEnd w:id="5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5"/>
      <w:rPr/>
    </w:pPr>
    <w:bookmarkStart w:colFirst="0" w:colLast="0" w:name="_11dswytin9xs" w:id="4"/>
    <w:bookmarkEnd w:id="4"/>
    <w:r w:rsidDel="00000000" w:rsidR="00000000" w:rsidRPr="00000000">
      <w:rPr>
        <w:rtl w:val="0"/>
      </w:rPr>
      <w:t xml:space="preserve">Denied Representation Resource Bank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loc.gov/classroom-materials/elections/right-to-vote/voting-rights-for-native-americans/" TargetMode="External"/><Relationship Id="rId22" Type="http://schemas.openxmlformats.org/officeDocument/2006/relationships/hyperlink" Target="https://www.nps.gov/home/learn/historyculture/native-americans-and-the-homestead-act.htm" TargetMode="External"/><Relationship Id="rId21" Type="http://schemas.openxmlformats.org/officeDocument/2006/relationships/hyperlink" Target="https://www.khanacademy.org/humanities/us-government-and-civics/x231f0f4241b58f49:citizens-us-gov-civics/x231f0f4241b58f49:how-has-the-definition-of-citizenship-changed-over-time/v/citizenship-and-voting-rights-of-indigenous-people" TargetMode="External"/><Relationship Id="rId24" Type="http://schemas.openxmlformats.org/officeDocument/2006/relationships/hyperlink" Target="https://www.youtube.com/watch?v=dbgQC9fz21k" TargetMode="External"/><Relationship Id="rId23" Type="http://schemas.openxmlformats.org/officeDocument/2006/relationships/hyperlink" Target="https://www.youtube.com/watch?v=hd430r8Sk9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8ToMhTy_g8" TargetMode="External"/><Relationship Id="rId26" Type="http://schemas.openxmlformats.org/officeDocument/2006/relationships/hyperlink" Target="https://www.youtube.com/watch?v=NGPAnLDzQYY&amp;list=PL8dPuuaLjXtNYJO8JWpXO2JP0ezgxsrJJ&amp;index=20" TargetMode="External"/><Relationship Id="rId25" Type="http://schemas.openxmlformats.org/officeDocument/2006/relationships/hyperlink" Target="https://www.youtube.com/watch?v=1JQs6T1iDYg" TargetMode="External"/><Relationship Id="rId28" Type="http://schemas.openxmlformats.org/officeDocument/2006/relationships/hyperlink" Target="https://www.youtube.com/watch?v=J99ldHD6qeQ" TargetMode="External"/><Relationship Id="rId27" Type="http://schemas.openxmlformats.org/officeDocument/2006/relationships/hyperlink" Target="https://www.youtube.com/watch?v=RrwE5Vi8L9I&amp;t=25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v9dPs-3-l4" TargetMode="External"/><Relationship Id="rId29" Type="http://schemas.openxmlformats.org/officeDocument/2006/relationships/hyperlink" Target="https://www.loc.gov/classroom-materials/elections/right-to-vote/voting-rights-for-african-americans/" TargetMode="External"/><Relationship Id="rId7" Type="http://schemas.openxmlformats.org/officeDocument/2006/relationships/hyperlink" Target="https://www.youtube.com/watch?v=IbWKRKmcUso" TargetMode="External"/><Relationship Id="rId8" Type="http://schemas.openxmlformats.org/officeDocument/2006/relationships/hyperlink" Target="https://www.youtube.com/watch?v=HGEMscZE5dY" TargetMode="External"/><Relationship Id="rId31" Type="http://schemas.openxmlformats.org/officeDocument/2006/relationships/hyperlink" Target="https://storycorps.org/stories/theresa-burroughs-and-toni-love/" TargetMode="External"/><Relationship Id="rId30" Type="http://schemas.openxmlformats.org/officeDocument/2006/relationships/hyperlink" Target="https://nmaahc.si.edu/explore/exhibitions/reconstruction/voting-rights" TargetMode="External"/><Relationship Id="rId11" Type="http://schemas.openxmlformats.org/officeDocument/2006/relationships/hyperlink" Target="https://www.youtube.com/watch?v=GBH8k7_NZRA" TargetMode="External"/><Relationship Id="rId33" Type="http://schemas.openxmlformats.org/officeDocument/2006/relationships/footer" Target="footer1.xml"/><Relationship Id="rId10" Type="http://schemas.openxmlformats.org/officeDocument/2006/relationships/hyperlink" Target="https://www.youtube.com/watch?v=z9LI6PGIkRc&amp;t=2s" TargetMode="External"/><Relationship Id="rId32" Type="http://schemas.openxmlformats.org/officeDocument/2006/relationships/header" Target="header1.xml"/><Relationship Id="rId13" Type="http://schemas.openxmlformats.org/officeDocument/2006/relationships/hyperlink" Target="https://www.learningforjustice.org/sites/default/files/general/women_couldnt_vote%5B1%5D.pdf" TargetMode="External"/><Relationship Id="rId12" Type="http://schemas.openxmlformats.org/officeDocument/2006/relationships/hyperlink" Target="https://www.loc.gov/classroom-materials/elections/right-to-vote/voting-rights-for-women/" TargetMode="External"/><Relationship Id="rId15" Type="http://schemas.openxmlformats.org/officeDocument/2006/relationships/hyperlink" Target="https://www.youtube.com/watch?v=suI3XcWox38" TargetMode="External"/><Relationship Id="rId14" Type="http://schemas.openxmlformats.org/officeDocument/2006/relationships/hyperlink" Target="https://www.si.edu/spotlight/votes-for-women" TargetMode="External"/><Relationship Id="rId17" Type="http://schemas.openxmlformats.org/officeDocument/2006/relationships/hyperlink" Target="https://www.youtube.com/watch?v=CkXqKOxUSWk&amp;t=6s" TargetMode="External"/><Relationship Id="rId16" Type="http://schemas.openxmlformats.org/officeDocument/2006/relationships/hyperlink" Target="https://www.youtube.com/watch?v=nis9RRtF6hk" TargetMode="External"/><Relationship Id="rId19" Type="http://schemas.openxmlformats.org/officeDocument/2006/relationships/hyperlink" Target="https://www.youtube.com/watch?v=wsHgtNtS0b4" TargetMode="External"/><Relationship Id="rId18" Type="http://schemas.openxmlformats.org/officeDocument/2006/relationships/hyperlink" Target="https://www.youtube.com/watch?v=enO5GrRpxQ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