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See, Think, Wonder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31f20"/>
        </w:rPr>
      </w:pPr>
      <w:r w:rsidDel="00000000" w:rsidR="00000000" w:rsidRPr="00000000">
        <w:rPr>
          <w:rtl w:val="0"/>
        </w:rPr>
        <w:t xml:space="preserve">Take a moment to reflect and complete the chart to share your impressions.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widowControl w:val="0"/>
              <w:spacing w:after="0" w:before="0" w:line="240" w:lineRule="auto"/>
              <w:rPr/>
            </w:pPr>
            <w:bookmarkStart w:colFirst="0" w:colLast="0" w:name="_n41c78f57v1r" w:id="1"/>
            <w:bookmarkEnd w:id="1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</w:t>
              <w:br w:type="textWrapping"/>
              <w:t xml:space="preserve">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widowControl w:val="0"/>
              <w:spacing w:after="0" w:before="0" w:line="240" w:lineRule="auto"/>
              <w:rPr>
                <w:sz w:val="58"/>
                <w:szCs w:val="58"/>
              </w:rPr>
            </w:pPr>
            <w:bookmarkStart w:colFirst="0" w:colLast="0" w:name="_xfp6pwx0qfaf" w:id="2"/>
            <w:bookmarkEnd w:id="2"/>
            <w:r w:rsidDel="00000000" w:rsidR="00000000" w:rsidRPr="00000000">
              <w:rPr>
                <w:sz w:val="58"/>
                <w:szCs w:val="58"/>
                <w:rtl w:val="0"/>
              </w:rPr>
              <w:t xml:space="preserve">👀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widowControl w:val="0"/>
              <w:spacing w:after="0" w:before="0" w:line="240" w:lineRule="auto"/>
              <w:rPr>
                <w:sz w:val="38"/>
                <w:szCs w:val="38"/>
              </w:rPr>
            </w:pPr>
            <w:bookmarkStart w:colFirst="0" w:colLast="0" w:name="_jry6yr6fxos4" w:id="3"/>
            <w:bookmarkEnd w:id="3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 you THINK about this topic?</w:t>
            </w:r>
          </w:p>
          <w:p w:rsidR="00000000" w:rsidDel="00000000" w:rsidP="00000000" w:rsidRDefault="00000000" w:rsidRPr="00000000" w14:paraId="00000006">
            <w:pPr>
              <w:pStyle w:val="Heading3"/>
              <w:widowControl w:val="0"/>
              <w:spacing w:after="0" w:before="0" w:line="240" w:lineRule="auto"/>
              <w:rPr>
                <w:sz w:val="58"/>
                <w:szCs w:val="58"/>
              </w:rPr>
            </w:pPr>
            <w:bookmarkStart w:colFirst="0" w:colLast="0" w:name="_g1saaf5b2pqp" w:id="4"/>
            <w:bookmarkEnd w:id="4"/>
            <w:r w:rsidDel="00000000" w:rsidR="00000000" w:rsidRPr="00000000">
              <w:rPr>
                <w:sz w:val="58"/>
                <w:szCs w:val="58"/>
                <w:rtl w:val="0"/>
              </w:rPr>
              <w:t xml:space="preserve">🤔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widowControl w:val="0"/>
              <w:spacing w:after="0" w:before="0" w:line="240" w:lineRule="auto"/>
              <w:rPr>
                <w:sz w:val="38"/>
                <w:szCs w:val="38"/>
              </w:rPr>
            </w:pPr>
            <w:bookmarkStart w:colFirst="0" w:colLast="0" w:name="_l1u7jlkedq37" w:id="5"/>
            <w:bookmarkEnd w:id="5"/>
            <w:r w:rsidDel="00000000" w:rsidR="00000000" w:rsidRPr="00000000">
              <w:rPr>
                <w:sz w:val="38"/>
                <w:szCs w:val="38"/>
                <w:rtl w:val="0"/>
              </w:rPr>
              <w:t xml:space="preserve">What do you WONDER about this topic?</w:t>
            </w:r>
          </w:p>
          <w:p w:rsidR="00000000" w:rsidDel="00000000" w:rsidP="00000000" w:rsidRDefault="00000000" w:rsidRPr="00000000" w14:paraId="00000008">
            <w:pPr>
              <w:pStyle w:val="Heading3"/>
              <w:widowControl w:val="0"/>
              <w:spacing w:after="0" w:before="0" w:line="240" w:lineRule="auto"/>
              <w:rPr>
                <w:sz w:val="54"/>
                <w:szCs w:val="54"/>
              </w:rPr>
            </w:pPr>
            <w:bookmarkStart w:colFirst="0" w:colLast="0" w:name="_16jenowenz41" w:id="6"/>
            <w:bookmarkEnd w:id="6"/>
            <w:r w:rsidDel="00000000" w:rsidR="00000000" w:rsidRPr="00000000">
              <w:rPr>
                <w:sz w:val="54"/>
                <w:szCs w:val="54"/>
                <w:rtl w:val="0"/>
              </w:rPr>
              <w:t xml:space="preserve">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A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C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0E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👀</w:t>
            </w:r>
          </w:p>
          <w:p w:rsidR="00000000" w:rsidDel="00000000" w:rsidP="00000000" w:rsidRDefault="00000000" w:rsidRPr="00000000" w14:paraId="00000010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2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4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6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🤔</w:t>
            </w:r>
          </w:p>
          <w:p w:rsidR="00000000" w:rsidDel="00000000" w:rsidP="00000000" w:rsidRDefault="00000000" w:rsidRPr="00000000" w14:paraId="00000018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A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C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1E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❓</w:t>
            </w:r>
          </w:p>
          <w:p w:rsidR="00000000" w:rsidDel="00000000" w:rsidP="00000000" w:rsidRDefault="00000000" w:rsidRPr="00000000" w14:paraId="00000020">
            <w:pPr>
              <w:spacing w:after="3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231f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6"/>
      <w:spacing w:before="100" w:lineRule="auto"/>
      <w:ind w:left="0" w:firstLine="0"/>
      <w:rPr/>
    </w:pPr>
    <w:bookmarkStart w:colFirst="0" w:colLast="0" w:name="_wz4xqz6ubvoc" w:id="8"/>
    <w:bookmarkEnd w:id="8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Heading5"/>
      <w:rPr/>
    </w:pPr>
    <w:bookmarkStart w:colFirst="0" w:colLast="0" w:name="_11dswytin9xs" w:id="7"/>
    <w:bookmarkEnd w:id="7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