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after="0" w:before="0" w:lineRule="auto"/>
        <w:rPr>
          <w:sz w:val="56"/>
          <w:szCs w:val="56"/>
        </w:rPr>
      </w:pPr>
      <w:bookmarkStart w:colFirst="0" w:colLast="0" w:name="_st6jqczdnvz2" w:id="0"/>
      <w:bookmarkEnd w:id="0"/>
      <w:r w:rsidDel="00000000" w:rsidR="00000000" w:rsidRPr="00000000">
        <w:rPr>
          <w:sz w:val="56"/>
          <w:szCs w:val="56"/>
          <w:rtl w:val="0"/>
        </w:rPr>
        <w:t xml:space="preserve">Escaping Misinformation: Inquiry Assessment Rubric</w:t>
      </w:r>
    </w:p>
    <w:tbl>
      <w:tblPr>
        <w:tblStyle w:val="Table1"/>
        <w:tblW w:w="144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4680"/>
        <w:gridCol w:w="3240"/>
        <w:gridCol w:w="3240"/>
        <w:gridCol w:w="3240"/>
        <w:tblGridChange w:id="0">
          <w:tblGrid>
            <w:gridCol w:w="4680"/>
            <w:gridCol w:w="3240"/>
            <w:gridCol w:w="3240"/>
            <w:gridCol w:w="3240"/>
          </w:tblGrid>
        </w:tblGridChange>
      </w:tblGrid>
      <w:tr>
        <w:trPr>
          <w:cantSplit w:val="1"/>
          <w:trHeight w:val="455.99999999999994" w:hRule="atLeast"/>
          <w:tblHeader w:val="0"/>
        </w:trPr>
        <w:tc>
          <w:tcPr>
            <w:vMerge w:val="restart"/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7a28xl7o185" w:id="1"/>
            <w:bookmarkEnd w:id="1"/>
            <w:r w:rsidDel="00000000" w:rsidR="00000000" w:rsidRPr="00000000">
              <w:rPr>
                <w:rtl w:val="0"/>
              </w:rPr>
              <w:t xml:space="preserve">Criterion</w:t>
            </w:r>
          </w:p>
        </w:tc>
        <w:tc>
          <w:tcPr>
            <w:shd w:fill="41af14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3">
            <w:pPr>
              <w:pStyle w:val="Heading4"/>
              <w:widowControl w:val="0"/>
              <w:spacing w:before="0" w:line="240" w:lineRule="auto"/>
              <w:rPr>
                <w:b w:val="0"/>
                <w:color w:val="f6f6f6"/>
              </w:rPr>
            </w:pPr>
            <w:bookmarkStart w:colFirst="0" w:colLast="0" w:name="_5lrxk57hbfnl" w:id="2"/>
            <w:bookmarkEnd w:id="2"/>
            <w:r w:rsidDel="00000000" w:rsidR="00000000" w:rsidRPr="00000000">
              <w:rPr>
                <w:color w:val="f6f6f6"/>
                <w:rtl w:val="0"/>
              </w:rPr>
              <w:t xml:space="preserve">Meets</w:t>
              <w:br w:type="textWrapping"/>
            </w:r>
            <w:r w:rsidDel="00000000" w:rsidR="00000000" w:rsidRPr="00000000">
              <w:rPr>
                <w:b w:val="0"/>
                <w:color w:val="f6f6f6"/>
                <w:rtl w:val="0"/>
              </w:rPr>
              <w:t xml:space="preserve">Expectations (3)</w:t>
            </w:r>
          </w:p>
        </w:tc>
        <w:tc>
          <w:tcPr>
            <w:shd w:fill="ffd519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4">
            <w:pPr>
              <w:pStyle w:val="Heading4"/>
              <w:widowControl w:val="0"/>
              <w:spacing w:before="0" w:line="240" w:lineRule="auto"/>
              <w:rPr>
                <w:b w:val="0"/>
              </w:rPr>
            </w:pPr>
            <w:bookmarkStart w:colFirst="0" w:colLast="0" w:name="_hcmdvnmrmuoj" w:id="3"/>
            <w:bookmarkEnd w:id="3"/>
            <w:r w:rsidDel="00000000" w:rsidR="00000000" w:rsidRPr="00000000">
              <w:rPr>
                <w:rtl w:val="0"/>
              </w:rPr>
              <w:t xml:space="preserve">Making Progress</w:t>
              <w:br w:type="textWrapping"/>
            </w:r>
            <w:r w:rsidDel="00000000" w:rsidR="00000000" w:rsidRPr="00000000">
              <w:rPr>
                <w:b w:val="0"/>
                <w:rtl w:val="0"/>
              </w:rPr>
              <w:t xml:space="preserve">Toward Expectations (2)</w:t>
            </w:r>
          </w:p>
        </w:tc>
        <w:tc>
          <w:tcPr>
            <w:shd w:fill="bb181d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5">
            <w:pPr>
              <w:pStyle w:val="Heading4"/>
              <w:widowControl w:val="0"/>
              <w:spacing w:before="0" w:line="240" w:lineRule="auto"/>
              <w:rPr>
                <w:b w:val="0"/>
                <w:color w:val="f6f6f6"/>
              </w:rPr>
            </w:pPr>
            <w:bookmarkStart w:colFirst="0" w:colLast="0" w:name="_q3wnrgs5k8jc" w:id="4"/>
            <w:bookmarkEnd w:id="4"/>
            <w:r w:rsidDel="00000000" w:rsidR="00000000" w:rsidRPr="00000000">
              <w:rPr>
                <w:color w:val="f6f6f6"/>
                <w:rtl w:val="0"/>
              </w:rPr>
              <w:t xml:space="preserve">Limited/No Progress</w:t>
              <w:br w:type="textWrapping"/>
            </w:r>
            <w:r w:rsidDel="00000000" w:rsidR="00000000" w:rsidRPr="00000000">
              <w:rPr>
                <w:b w:val="0"/>
                <w:color w:val="f6f6f6"/>
                <w:rtl w:val="0"/>
              </w:rPr>
              <w:t xml:space="preserve">Toward Expectations (1)</w:t>
            </w:r>
          </w:p>
        </w:tc>
      </w:tr>
      <w:tr>
        <w:trPr>
          <w:cantSplit w:val="1"/>
          <w:trHeight w:val="455.99999999999994" w:hRule="atLeast"/>
          <w:tblHeader w:val="0"/>
        </w:trPr>
        <w:tc>
          <w:tcPr>
            <w:vMerge w:val="continue"/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rPr>
                <w:i w:val="1"/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1af14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after="0" w:lineRule="auto"/>
              <w:rPr>
                <w:color w:val="f6f6f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6f6f6"/>
                <w:sz w:val="20"/>
                <w:szCs w:val="20"/>
                <w:rtl w:val="0"/>
              </w:rPr>
              <w:t xml:space="preserve">Independently</w:t>
            </w:r>
            <w:r w:rsidDel="00000000" w:rsidR="00000000" w:rsidRPr="00000000">
              <w:rPr>
                <w:color w:val="f6f6f6"/>
                <w:sz w:val="20"/>
                <w:szCs w:val="20"/>
                <w:rtl w:val="0"/>
              </w:rPr>
              <w:t xml:space="preserve"> demonstrates understanding of key concepts and skills orally, in writing, and/or through a visual representation.</w:t>
            </w:r>
          </w:p>
        </w:tc>
        <w:tc>
          <w:tcPr>
            <w:shd w:fill="ffd519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after="0" w:lineRule="auto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With prompting and support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, demonstrates </w:t>
            </w: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partial</w:t>
            </w: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 understanding of key concepts and skills orally, in writing, and/or through a visual representation.</w:t>
            </w:r>
          </w:p>
        </w:tc>
        <w:tc>
          <w:tcPr>
            <w:shd w:fill="bb181d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after="0" w:lineRule="auto"/>
              <w:rPr>
                <w:color w:val="f6f6f6"/>
                <w:sz w:val="20"/>
                <w:szCs w:val="20"/>
              </w:rPr>
            </w:pPr>
            <w:r w:rsidDel="00000000" w:rsidR="00000000" w:rsidRPr="00000000">
              <w:rPr>
                <w:color w:val="f6f6f6"/>
                <w:sz w:val="20"/>
                <w:szCs w:val="20"/>
                <w:rtl w:val="0"/>
              </w:rPr>
              <w:t xml:space="preserve">With prompting and support, </w:t>
            </w:r>
            <w:r w:rsidDel="00000000" w:rsidR="00000000" w:rsidRPr="00000000">
              <w:rPr>
                <w:b w:val="1"/>
                <w:color w:val="f6f6f6"/>
                <w:sz w:val="20"/>
                <w:szCs w:val="20"/>
                <w:rtl w:val="0"/>
              </w:rPr>
              <w:t xml:space="preserve">does not</w:t>
            </w:r>
            <w:r w:rsidDel="00000000" w:rsidR="00000000" w:rsidRPr="00000000">
              <w:rPr>
                <w:color w:val="f6f6f6"/>
                <w:sz w:val="20"/>
                <w:szCs w:val="20"/>
                <w:rtl w:val="0"/>
              </w:rPr>
              <w:t xml:space="preserve"> demonstrate understanding of key concepts or skills orally, in writing, and/or through a visual representation.</w:t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shd w:fill="231f2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IBM Plex Sans" w:cs="IBM Plex Sans" w:eastAsia="IBM Plex Sans" w:hAnsi="IBM Plex Sans"/>
                <w:color w:val="d6d6d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231f2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IBM Plex Sans" w:cs="IBM Plex Sans" w:eastAsia="IBM Plex Sans" w:hAnsi="IBM Plex Sans"/>
                <w:color w:val="d6d6d6"/>
                <w:sz w:val="20"/>
                <w:szCs w:val="20"/>
              </w:rPr>
            </w:pPr>
            <w:r w:rsidDel="00000000" w:rsidR="00000000" w:rsidRPr="00000000">
              <w:rPr>
                <w:rFonts w:ascii="IBM Plex Sans" w:cs="IBM Plex Sans" w:eastAsia="IBM Plex Sans" w:hAnsi="IBM Plex Sans"/>
                <w:b w:val="1"/>
                <w:color w:val="d6d6d6"/>
                <w:sz w:val="16"/>
                <w:szCs w:val="16"/>
                <w:rtl w:val="0"/>
              </w:rPr>
              <w:t xml:space="preserve">▼</w:t>
            </w:r>
            <w:r w:rsidDel="00000000" w:rsidR="00000000" w:rsidRPr="00000000">
              <w:rPr>
                <w:rFonts w:ascii="IBM Plex Sans" w:cs="IBM Plex Sans" w:eastAsia="IBM Plex Sans" w:hAnsi="IBM Plex Sans"/>
                <w:color w:val="d6d6d6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IBM Plex Sans" w:cs="IBM Plex Sans" w:eastAsia="IBM Plex Sans" w:hAnsi="IBM Plex Sans"/>
                <w:i w:val="1"/>
                <w:color w:val="d6d6d6"/>
                <w:sz w:val="20"/>
                <w:szCs w:val="20"/>
                <w:rtl w:val="0"/>
              </w:rPr>
              <w:t xml:space="preserve">Select one assessment score per criterion row below.</w:t>
            </w:r>
            <w:r w:rsidDel="00000000" w:rsidR="00000000" w:rsidRPr="00000000">
              <w:rPr>
                <w:rFonts w:ascii="IBM Plex Sans" w:cs="IBM Plex Sans" w:eastAsia="IBM Plex Sans" w:hAnsi="IBM Plex Sans"/>
                <w:color w:val="d6d6d6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IBM Plex Sans" w:cs="IBM Plex Sans" w:eastAsia="IBM Plex Sans" w:hAnsi="IBM Plex Sans"/>
                <w:b w:val="1"/>
                <w:color w:val="d6d6d6"/>
                <w:sz w:val="16"/>
                <w:szCs w:val="16"/>
                <w:rtl w:val="0"/>
              </w:rPr>
              <w:t xml:space="preserve">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10" w:hRule="atLeast"/>
          <w:tblHeader w:val="0"/>
        </w:trPr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after="0" w:lineRule="auto"/>
              <w:rPr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color w:val="231f20"/>
                <w:sz w:val="22"/>
                <w:szCs w:val="22"/>
                <w:rtl w:val="0"/>
              </w:rPr>
              <w:t xml:space="preserve">Examine media literacy strategies </w:t>
            </w:r>
          </w:p>
        </w:tc>
        <w:tc>
          <w:tcPr>
            <w:shd w:fill="d9ead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lineRule="auto"/>
              <w:jc w:val="center"/>
              <w:rPr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Rule="auto"/>
              <w:jc w:val="center"/>
              <w:rPr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lineRule="auto"/>
              <w:jc w:val="center"/>
              <w:rPr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10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after="0" w:lineRule="auto"/>
              <w:rPr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color w:val="231f20"/>
                <w:sz w:val="22"/>
                <w:szCs w:val="22"/>
                <w:rtl w:val="0"/>
              </w:rPr>
              <w:t xml:space="preserve">Determine the credibility of various sources</w:t>
            </w:r>
          </w:p>
        </w:tc>
        <w:tc>
          <w:tcPr>
            <w:shd w:fill="d9ead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Rule="auto"/>
              <w:jc w:val="center"/>
              <w:rPr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lineRule="auto"/>
              <w:jc w:val="center"/>
              <w:rPr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10" w:hRule="atLeast"/>
          <w:tblHeader w:val="0"/>
        </w:trPr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after="0" w:lineRule="auto"/>
              <w:rPr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color w:val="231f20"/>
                <w:sz w:val="22"/>
                <w:szCs w:val="22"/>
                <w:rtl w:val="0"/>
              </w:rPr>
              <w:t xml:space="preserve">Identify factors that make a source reliable</w:t>
            </w:r>
          </w:p>
        </w:tc>
        <w:tc>
          <w:tcPr>
            <w:shd w:fill="d9ead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lineRule="auto"/>
              <w:jc w:val="center"/>
              <w:rPr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Rule="auto"/>
              <w:jc w:val="center"/>
              <w:rPr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10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after="0" w:lineRule="auto"/>
              <w:rPr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31f20"/>
                <w:sz w:val="22"/>
                <w:szCs w:val="22"/>
                <w:rtl w:val="0"/>
              </w:rPr>
              <w:t xml:space="preserve">D3.2.3-5. </w:t>
            </w:r>
            <w:r w:rsidDel="00000000" w:rsidR="00000000" w:rsidRPr="00000000">
              <w:rPr>
                <w:color w:val="231f20"/>
                <w:sz w:val="22"/>
                <w:szCs w:val="22"/>
                <w:rtl w:val="0"/>
              </w:rPr>
              <w:t xml:space="preserve">Use distinctions among fact and opinion to determine the credibility of multiple sources.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Rule="auto"/>
              <w:jc w:val="center"/>
              <w:rPr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Rule="auto"/>
              <w:jc w:val="center"/>
              <w:rPr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10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after="0" w:lineRule="auto"/>
              <w:rPr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231f20"/>
                <w:sz w:val="22"/>
                <w:szCs w:val="22"/>
                <w:rtl w:val="0"/>
              </w:rPr>
              <w:t xml:space="preserve">D3.2.6-8. </w:t>
            </w:r>
            <w:r w:rsidDel="00000000" w:rsidR="00000000" w:rsidRPr="00000000">
              <w:rPr>
                <w:color w:val="231f20"/>
                <w:sz w:val="22"/>
                <w:szCs w:val="22"/>
                <w:rtl w:val="0"/>
              </w:rPr>
              <w:t xml:space="preserve">Evaluate the credibility of a source by determining its relevance and intended use.</w:t>
            </w:r>
          </w:p>
        </w:tc>
        <w:tc>
          <w:tcPr>
            <w:shd w:fill="d9ead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lineRule="auto"/>
              <w:jc w:val="center"/>
              <w:rPr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Rule="auto"/>
              <w:jc w:val="center"/>
              <w:rPr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 w:orient="landscape"/>
      <w:pgMar w:bottom="1627.1999999999998" w:top="1324.800000000000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Style w:val="Heading6"/>
      <w:spacing w:before="100" w:lineRule="auto"/>
      <w:ind w:left="0" w:firstLine="0"/>
      <w:rPr/>
    </w:pPr>
    <w:bookmarkStart w:colFirst="0" w:colLast="0" w:name="_wz4xqz6ubvoc" w:id="6"/>
    <w:bookmarkEnd w:id="6"/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</wp:posOffset>
          </wp:positionV>
          <wp:extent cx="9144000" cy="381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0" cy="38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Style w:val="Heading5"/>
      <w:rPr/>
    </w:pPr>
    <w:bookmarkStart w:colFirst="0" w:colLast="0" w:name="_11dswytin9xs" w:id="5"/>
    <w:bookmarkEnd w:id="5"/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52275" cy="841248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2275" cy="8412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393435"/>
        <w:sz w:val="24"/>
        <w:szCs w:val="24"/>
        <w:lang w:val="en"/>
      </w:rPr>
    </w:rPrDefault>
    <w:pPrDefault>
      <w:pPr>
        <w:spacing w:after="3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